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校车购车补贴及运营经费绩效自评报告</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根据上级文件要求，我单位对</w:t>
      </w:r>
      <w:r>
        <w:rPr>
          <w:rFonts w:hint="eastAsia" w:ascii="仿宋" w:hAnsi="仿宋" w:eastAsia="仿宋"/>
          <w:sz w:val="32"/>
          <w:szCs w:val="32"/>
          <w:lang w:eastAsia="zh-CN"/>
        </w:rPr>
        <w:t>2023</w:t>
      </w:r>
      <w:r>
        <w:rPr>
          <w:rFonts w:hint="eastAsia" w:ascii="仿宋" w:hAnsi="仿宋" w:eastAsia="仿宋"/>
          <w:sz w:val="32"/>
          <w:szCs w:val="32"/>
        </w:rPr>
        <w:t>年度校车运营补贴及运营经费绩效评价，现将自评结果报告如下：</w:t>
      </w:r>
    </w:p>
    <w:p>
      <w:pPr>
        <w:spacing w:line="520" w:lineRule="exact"/>
        <w:ind w:firstLine="600" w:firstLineChars="200"/>
        <w:rPr>
          <w:rFonts w:eastAsia="黑体"/>
          <w:sz w:val="30"/>
          <w:szCs w:val="30"/>
        </w:rPr>
      </w:pPr>
      <w:r>
        <w:rPr>
          <w:rFonts w:hint="eastAsia" w:ascii="黑体" w:hAnsi="黑体" w:eastAsia="黑体"/>
          <w:sz w:val="30"/>
          <w:szCs w:val="30"/>
        </w:rPr>
        <w:t>一、项目基本情况</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（一）项目资金基本概况</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eastAsia="zh-CN"/>
        </w:rPr>
        <w:t>本</w:t>
      </w:r>
      <w:r>
        <w:rPr>
          <w:rFonts w:hint="eastAsia" w:ascii="仿宋" w:hAnsi="仿宋" w:eastAsia="仿宋"/>
          <w:sz w:val="32"/>
          <w:szCs w:val="32"/>
        </w:rPr>
        <w:t>年度校车购车补贴及运营经费预算资金</w:t>
      </w:r>
      <w:r>
        <w:rPr>
          <w:rFonts w:hint="eastAsia" w:ascii="仿宋" w:hAnsi="仿宋" w:eastAsia="仿宋"/>
          <w:sz w:val="32"/>
          <w:szCs w:val="32"/>
          <w:lang w:eastAsia="zh-CN"/>
        </w:rPr>
        <w:t>250.5</w:t>
      </w:r>
      <w:r>
        <w:rPr>
          <w:rFonts w:hint="eastAsia" w:ascii="仿宋" w:hAnsi="仿宋" w:eastAsia="仿宋"/>
          <w:sz w:val="32"/>
          <w:szCs w:val="32"/>
        </w:rPr>
        <w:t>万元，全部用于校车购车补贴及运营。</w:t>
      </w:r>
    </w:p>
    <w:p>
      <w:pPr>
        <w:spacing w:line="520" w:lineRule="exact"/>
        <w:ind w:firstLine="600" w:firstLineChars="200"/>
        <w:rPr>
          <w:rFonts w:eastAsia="仿宋_GB2312"/>
          <w:sz w:val="30"/>
          <w:szCs w:val="30"/>
        </w:rPr>
      </w:pPr>
      <w:r>
        <w:rPr>
          <w:rFonts w:hint="eastAsia" w:ascii="仿宋_GB2312" w:eastAsia="仿宋_GB2312"/>
          <w:sz w:val="30"/>
          <w:szCs w:val="30"/>
        </w:rPr>
        <w:t>（二）项目绩效目标</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校车管理规范，用车安全，群众满意。基本解决乡镇中小学生和幼儿上下学用车需求，让学生坐上安全车、放心车，实现校车全覆盖，杜绝非法车辆接送学生幼儿行为。</w:t>
      </w:r>
    </w:p>
    <w:p>
      <w:pPr>
        <w:spacing w:line="520" w:lineRule="exact"/>
        <w:ind w:firstLine="600" w:firstLineChars="200"/>
        <w:rPr>
          <w:rFonts w:eastAsia="黑体"/>
          <w:sz w:val="30"/>
          <w:szCs w:val="30"/>
        </w:rPr>
      </w:pPr>
      <w:r>
        <w:rPr>
          <w:rFonts w:hint="eastAsia" w:ascii="黑体" w:hAnsi="黑体" w:eastAsia="黑体"/>
          <w:sz w:val="30"/>
          <w:szCs w:val="30"/>
        </w:rPr>
        <w:t>二、项目资金使用及管理情况</w:t>
      </w:r>
    </w:p>
    <w:p>
      <w:pPr>
        <w:spacing w:line="520" w:lineRule="exact"/>
        <w:ind w:firstLine="643" w:firstLineChars="200"/>
        <w:rPr>
          <w:rFonts w:ascii="楷体" w:hAnsi="楷体" w:eastAsia="楷体"/>
          <w:b/>
          <w:bCs/>
          <w:sz w:val="32"/>
          <w:szCs w:val="32"/>
        </w:rPr>
      </w:pPr>
      <w:r>
        <w:rPr>
          <w:rFonts w:hint="eastAsia" w:ascii="楷体" w:hAnsi="楷体" w:eastAsia="楷体"/>
          <w:b/>
          <w:bCs/>
          <w:sz w:val="32"/>
          <w:szCs w:val="32"/>
        </w:rPr>
        <w:t>（一）项目资金安排落实及总投入</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eastAsia="zh-CN"/>
        </w:rPr>
        <w:t>本</w:t>
      </w:r>
      <w:r>
        <w:rPr>
          <w:rFonts w:hint="eastAsia" w:ascii="仿宋" w:hAnsi="仿宋" w:eastAsia="仿宋"/>
          <w:sz w:val="32"/>
          <w:szCs w:val="32"/>
        </w:rPr>
        <w:t>年度校车购车补贴及运营经费</w:t>
      </w:r>
      <w:r>
        <w:rPr>
          <w:rFonts w:hint="eastAsia" w:ascii="仿宋" w:hAnsi="仿宋" w:eastAsia="仿宋"/>
          <w:sz w:val="32"/>
          <w:szCs w:val="32"/>
          <w:lang w:eastAsia="zh-CN"/>
        </w:rPr>
        <w:t>250.5</w:t>
      </w:r>
      <w:r>
        <w:rPr>
          <w:rFonts w:hint="eastAsia" w:ascii="仿宋" w:hAnsi="仿宋" w:eastAsia="仿宋"/>
          <w:sz w:val="32"/>
          <w:szCs w:val="32"/>
        </w:rPr>
        <w:t>万元全部安排落实到位。</w:t>
      </w:r>
    </w:p>
    <w:p>
      <w:pPr>
        <w:spacing w:line="520" w:lineRule="exact"/>
        <w:ind w:firstLine="643" w:firstLineChars="200"/>
        <w:rPr>
          <w:rFonts w:ascii="楷体" w:hAnsi="楷体" w:eastAsia="楷体"/>
          <w:b/>
          <w:bCs/>
          <w:sz w:val="32"/>
          <w:szCs w:val="32"/>
        </w:rPr>
      </w:pPr>
      <w:r>
        <w:rPr>
          <w:rFonts w:hint="eastAsia" w:ascii="楷体" w:hAnsi="楷体" w:eastAsia="楷体"/>
          <w:b/>
          <w:bCs/>
          <w:sz w:val="32"/>
          <w:szCs w:val="32"/>
        </w:rPr>
        <w:t>（二）项目资金实际使用情况</w:t>
      </w:r>
    </w:p>
    <w:p>
      <w:pPr>
        <w:spacing w:line="520" w:lineRule="exact"/>
        <w:ind w:firstLine="645"/>
        <w:rPr>
          <w:rFonts w:ascii="仿宋" w:hAnsi="仿宋" w:eastAsia="仿宋"/>
          <w:sz w:val="32"/>
          <w:szCs w:val="32"/>
        </w:rPr>
      </w:pPr>
      <w:r>
        <w:rPr>
          <w:rFonts w:hint="eastAsia" w:ascii="仿宋" w:hAnsi="仿宋" w:eastAsia="仿宋"/>
          <w:sz w:val="32"/>
          <w:szCs w:val="32"/>
          <w:lang w:eastAsia="zh-CN"/>
        </w:rPr>
        <w:t>本</w:t>
      </w:r>
      <w:r>
        <w:rPr>
          <w:rFonts w:hint="eastAsia" w:ascii="仿宋" w:hAnsi="仿宋" w:eastAsia="仿宋"/>
          <w:sz w:val="32"/>
          <w:szCs w:val="32"/>
        </w:rPr>
        <w:t>年度校车购车补贴及运营经费</w:t>
      </w:r>
      <w:r>
        <w:rPr>
          <w:rFonts w:hint="eastAsia" w:ascii="仿宋" w:hAnsi="仿宋" w:eastAsia="仿宋"/>
          <w:sz w:val="32"/>
          <w:szCs w:val="32"/>
          <w:lang w:eastAsia="zh-CN"/>
        </w:rPr>
        <w:t>250.5</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实际拨付220.155万元，</w:t>
      </w:r>
      <w:r>
        <w:rPr>
          <w:rFonts w:hint="eastAsia" w:ascii="仿宋" w:hAnsi="仿宋" w:eastAsia="仿宋"/>
          <w:sz w:val="32"/>
          <w:szCs w:val="32"/>
        </w:rPr>
        <w:t>全部用于校车购车补贴及运营。</w:t>
      </w:r>
    </w:p>
    <w:p>
      <w:pPr>
        <w:spacing w:line="520" w:lineRule="exact"/>
        <w:ind w:firstLine="643" w:firstLineChars="200"/>
        <w:rPr>
          <w:rFonts w:ascii="楷体" w:hAnsi="楷体" w:eastAsia="楷体"/>
          <w:b/>
          <w:bCs/>
          <w:sz w:val="32"/>
          <w:szCs w:val="32"/>
        </w:rPr>
      </w:pPr>
      <w:r>
        <w:rPr>
          <w:rFonts w:hint="eastAsia" w:ascii="楷体" w:hAnsi="楷体" w:eastAsia="楷体"/>
          <w:b/>
          <w:bCs/>
          <w:sz w:val="32"/>
          <w:szCs w:val="32"/>
        </w:rPr>
        <w:t>（三）项目资金管理情况分析</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1.项目资金情况分析</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eastAsia="zh-CN"/>
        </w:rPr>
        <w:t>本</w:t>
      </w:r>
      <w:r>
        <w:rPr>
          <w:rFonts w:hint="eastAsia" w:ascii="仿宋" w:hAnsi="仿宋" w:eastAsia="仿宋"/>
          <w:sz w:val="32"/>
          <w:szCs w:val="32"/>
        </w:rPr>
        <w:t>年校车购车补贴及运营经费</w:t>
      </w:r>
      <w:r>
        <w:rPr>
          <w:rFonts w:hint="eastAsia" w:ascii="仿宋" w:hAnsi="仿宋" w:eastAsia="仿宋"/>
          <w:sz w:val="32"/>
          <w:szCs w:val="32"/>
          <w:lang w:eastAsia="zh-CN"/>
        </w:rPr>
        <w:t>250.5</w:t>
      </w:r>
      <w:r>
        <w:rPr>
          <w:rFonts w:hint="eastAsia" w:ascii="仿宋" w:hAnsi="仿宋" w:eastAsia="仿宋"/>
          <w:sz w:val="32"/>
          <w:szCs w:val="32"/>
        </w:rPr>
        <w:t>万元，按季度拨付到位</w:t>
      </w:r>
      <w:r>
        <w:rPr>
          <w:rFonts w:hint="eastAsia" w:ascii="仿宋" w:hAnsi="仿宋" w:eastAsia="仿宋"/>
          <w:sz w:val="32"/>
          <w:szCs w:val="32"/>
          <w:lang w:val="en-US" w:eastAsia="zh-CN"/>
        </w:rPr>
        <w:t>220.155万元</w:t>
      </w:r>
      <w:r>
        <w:rPr>
          <w:rFonts w:hint="eastAsia" w:ascii="仿宋" w:hAnsi="仿宋" w:eastAsia="仿宋"/>
          <w:sz w:val="32"/>
          <w:szCs w:val="32"/>
        </w:rPr>
        <w:t>。</w:t>
      </w:r>
    </w:p>
    <w:p>
      <w:pPr>
        <w:spacing w:line="520" w:lineRule="exact"/>
        <w:ind w:firstLine="645"/>
        <w:rPr>
          <w:rFonts w:ascii="仿宋" w:hAnsi="仿宋" w:eastAsia="仿宋"/>
          <w:sz w:val="32"/>
          <w:szCs w:val="32"/>
        </w:rPr>
      </w:pPr>
      <w:r>
        <w:rPr>
          <w:rFonts w:hint="eastAsia" w:ascii="仿宋" w:hAnsi="仿宋" w:eastAsia="仿宋"/>
          <w:sz w:val="32"/>
          <w:szCs w:val="32"/>
        </w:rPr>
        <w:t>2.资金管理情况分析</w:t>
      </w:r>
    </w:p>
    <w:p>
      <w:pPr>
        <w:spacing w:line="520" w:lineRule="exact"/>
        <w:ind w:firstLine="645"/>
        <w:rPr>
          <w:rFonts w:ascii="仿宋" w:hAnsi="仿宋" w:eastAsia="仿宋"/>
          <w:sz w:val="32"/>
          <w:szCs w:val="32"/>
        </w:rPr>
      </w:pPr>
      <w:r>
        <w:rPr>
          <w:rFonts w:hint="eastAsia" w:ascii="仿宋" w:hAnsi="仿宋" w:eastAsia="仿宋"/>
          <w:sz w:val="32"/>
          <w:szCs w:val="32"/>
        </w:rPr>
        <w:t>校车购车补贴及运营经费专款专用、专帐管理，按照财务管理制度支付，由靖州县财政国库集中支付局集中支付，最大程度上避免了违规情况发生。</w:t>
      </w:r>
    </w:p>
    <w:p>
      <w:pPr>
        <w:spacing w:line="520" w:lineRule="exact"/>
        <w:ind w:firstLine="645"/>
        <w:rPr>
          <w:rFonts w:ascii="仿宋" w:hAnsi="仿宋" w:eastAsia="仿宋"/>
          <w:sz w:val="32"/>
          <w:szCs w:val="32"/>
        </w:rPr>
      </w:pPr>
      <w:r>
        <w:rPr>
          <w:rFonts w:hint="eastAsia" w:ascii="仿宋" w:hAnsi="仿宋" w:eastAsia="仿宋"/>
          <w:sz w:val="32"/>
          <w:szCs w:val="32"/>
        </w:rPr>
        <w:t>3.项目组织和项目管理情况分析</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校车购车补贴及运营经费的标准按照县教育局与校车公司签订的校车服务协议执行，由局综合治理办公室下辖的校车办根据校车公司本年度校车运行数量、服务质量、安全管理等情况按季度提出付款意见，经局领导审核签字后，严格按照财务管理制度据实支出。</w:t>
      </w:r>
    </w:p>
    <w:p>
      <w:pPr>
        <w:spacing w:line="520" w:lineRule="exact"/>
        <w:ind w:firstLine="645"/>
        <w:rPr>
          <w:rFonts w:ascii="黑体" w:hAnsi="黑体" w:eastAsia="黑体"/>
          <w:sz w:val="32"/>
          <w:szCs w:val="32"/>
        </w:rPr>
      </w:pPr>
      <w:r>
        <w:rPr>
          <w:rFonts w:hint="eastAsia" w:ascii="黑体" w:hAnsi="黑体" w:eastAsia="黑体"/>
          <w:sz w:val="32"/>
          <w:szCs w:val="32"/>
        </w:rPr>
        <w:t>三、项目资金支出绩效情况</w:t>
      </w:r>
    </w:p>
    <w:p>
      <w:pPr>
        <w:spacing w:line="520" w:lineRule="exact"/>
        <w:ind w:firstLine="645"/>
        <w:rPr>
          <w:rFonts w:ascii="仿宋" w:hAnsi="仿宋" w:eastAsia="仿宋"/>
          <w:sz w:val="32"/>
          <w:szCs w:val="32"/>
        </w:rPr>
      </w:pPr>
      <w:r>
        <w:rPr>
          <w:rFonts w:hint="eastAsia" w:ascii="仿宋" w:hAnsi="仿宋" w:eastAsia="仿宋"/>
          <w:sz w:val="32"/>
          <w:szCs w:val="32"/>
        </w:rPr>
        <w:t>校车购车补贴及运营经费支出取得了良好的成效，完成了预期建设目标任务。</w:t>
      </w:r>
    </w:p>
    <w:p>
      <w:pPr>
        <w:spacing w:line="520" w:lineRule="exact"/>
        <w:ind w:firstLine="645"/>
        <w:rPr>
          <w:rFonts w:ascii="仿宋" w:hAnsi="仿宋" w:eastAsia="仿宋"/>
          <w:sz w:val="32"/>
          <w:szCs w:val="32"/>
        </w:rPr>
      </w:pPr>
      <w:r>
        <w:rPr>
          <w:rFonts w:hint="eastAsia" w:ascii="仿宋" w:hAnsi="仿宋" w:eastAsia="仿宋"/>
          <w:sz w:val="32"/>
          <w:szCs w:val="32"/>
        </w:rPr>
        <w:t>1.项目经济性分析，工程成本控制在预算内，成本控制良好。</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2.项目的效率性分析，项目的实施进度按照计划如期完成，完成质量良好。项目资金的投入得到保障，乡镇学生上下学安全得到了有效保证，受到了社会广泛的好评。</w:t>
      </w:r>
    </w:p>
    <w:p>
      <w:pPr>
        <w:spacing w:line="520" w:lineRule="exact"/>
        <w:ind w:firstLine="600" w:firstLineChars="200"/>
        <w:rPr>
          <w:rFonts w:eastAsia="黑体"/>
          <w:sz w:val="30"/>
          <w:szCs w:val="30"/>
        </w:rPr>
      </w:pPr>
      <w:r>
        <w:rPr>
          <w:rFonts w:hint="eastAsia" w:ascii="黑体" w:hAnsi="黑体" w:eastAsia="黑体"/>
          <w:sz w:val="30"/>
          <w:szCs w:val="30"/>
        </w:rPr>
        <w:t>四、主要经验和做法</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项目责任到人，从立项论证、计划制定、审批、预付款、验收等各个程序专人负责、严格把关，严格按国家政策和省、市政策法规办事、手续齐全。</w:t>
      </w:r>
    </w:p>
    <w:p>
      <w:pPr>
        <w:spacing w:line="520" w:lineRule="exact"/>
        <w:ind w:firstLine="600" w:firstLineChars="200"/>
        <w:rPr>
          <w:rFonts w:eastAsia="黑体"/>
          <w:sz w:val="30"/>
          <w:szCs w:val="30"/>
        </w:rPr>
      </w:pPr>
      <w:r>
        <w:rPr>
          <w:rFonts w:hint="eastAsia" w:ascii="黑体" w:hAnsi="黑体" w:eastAsia="黑体"/>
          <w:sz w:val="30"/>
          <w:szCs w:val="30"/>
        </w:rPr>
        <w:t>五、有关建议</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希望加大对中小学校车购车补贴及运营经费方面的投入。</w:t>
      </w:r>
    </w:p>
    <w:p>
      <w:pPr>
        <w:spacing w:line="600" w:lineRule="exact"/>
        <w:rPr>
          <w:rFonts w:ascii="仿宋_GB2312" w:eastAsia="仿宋_GB2312"/>
          <w:sz w:val="32"/>
          <w:szCs w:val="32"/>
        </w:rPr>
        <w:sectPr>
          <w:pgSz w:w="11906" w:h="16838"/>
          <w:pgMar w:top="1440" w:right="1800" w:bottom="1440" w:left="1800" w:header="851" w:footer="992" w:gutter="0"/>
          <w:cols w:space="720" w:num="1"/>
          <w:docGrid w:type="lines" w:linePitch="312" w:charSpace="0"/>
        </w:sectPr>
      </w:pPr>
    </w:p>
    <w:p>
      <w:pPr>
        <w:spacing w:line="600" w:lineRule="exact"/>
        <w:rPr>
          <w:rFonts w:eastAsia="仿宋_GB2312"/>
          <w:sz w:val="32"/>
          <w:szCs w:val="32"/>
        </w:rPr>
      </w:pPr>
      <w:r>
        <w:rPr>
          <w:rFonts w:hint="eastAsia" w:ascii="仿宋_GB2312" w:eastAsia="仿宋_GB2312"/>
          <w:sz w:val="32"/>
          <w:szCs w:val="32"/>
        </w:rPr>
        <w:t>附件</w:t>
      </w:r>
      <w:r>
        <w:rPr>
          <w:rFonts w:hint="eastAsia" w:eastAsia="仿宋_GB2312"/>
          <w:sz w:val="32"/>
          <w:szCs w:val="32"/>
        </w:rPr>
        <w:t>3</w:t>
      </w:r>
    </w:p>
    <w:p>
      <w:pPr>
        <w:pStyle w:val="8"/>
        <w:spacing w:before="57"/>
        <w:ind w:left="331"/>
        <w:jc w:val="center"/>
        <w:rPr>
          <w:sz w:val="18"/>
          <w:szCs w:val="18"/>
        </w:rPr>
      </w:pPr>
      <w:r>
        <w:rPr>
          <w:rFonts w:ascii="方正公文小标宋" w:hAnsi="方正公文小标宋"/>
          <w:sz w:val="28"/>
          <w:szCs w:val="28"/>
        </w:rPr>
        <w:t>项目支出绩效自评表</w:t>
      </w:r>
    </w:p>
    <w:p>
      <w:pPr>
        <w:pStyle w:val="8"/>
        <w:spacing w:before="57"/>
        <w:ind w:left="331"/>
        <w:jc w:val="center"/>
        <w:rPr>
          <w:sz w:val="22"/>
          <w:szCs w:val="22"/>
        </w:rPr>
      </w:pPr>
      <w:r>
        <w:rPr>
          <w:rFonts w:hint="eastAsia"/>
          <w:sz w:val="22"/>
          <w:szCs w:val="22"/>
        </w:rPr>
        <w:t>（</w:t>
      </w:r>
      <w:r>
        <w:rPr>
          <w:rFonts w:hint="eastAsia"/>
          <w:sz w:val="22"/>
          <w:szCs w:val="22"/>
          <w:lang w:eastAsia="zh-CN"/>
        </w:rPr>
        <w:t>2023</w:t>
      </w:r>
      <w:r>
        <w:rPr>
          <w:rFonts w:hint="eastAsia"/>
          <w:sz w:val="22"/>
          <w:szCs w:val="22"/>
        </w:rPr>
        <w:t>年度）</w:t>
      </w:r>
    </w:p>
    <w:tbl>
      <w:tblPr>
        <w:tblStyle w:val="4"/>
        <w:tblW w:w="99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883"/>
        <w:gridCol w:w="177"/>
        <w:gridCol w:w="1500"/>
        <w:gridCol w:w="677"/>
        <w:gridCol w:w="1301"/>
        <w:gridCol w:w="310"/>
        <w:gridCol w:w="1079"/>
        <w:gridCol w:w="890"/>
        <w:gridCol w:w="324"/>
        <w:gridCol w:w="320"/>
        <w:gridCol w:w="488"/>
        <w:gridCol w:w="261"/>
        <w:gridCol w:w="533"/>
        <w:gridCol w:w="7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387"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7"/>
              <w:ind w:left="331"/>
              <w:jc w:val="center"/>
              <w:rPr>
                <w:rFonts w:cs="Times New Roman"/>
                <w:sz w:val="18"/>
                <w:szCs w:val="18"/>
              </w:rPr>
            </w:pPr>
            <w:r>
              <w:rPr>
                <w:rFonts w:hint="eastAsia" w:cs="Times New Roman"/>
                <w:sz w:val="18"/>
                <w:szCs w:val="18"/>
              </w:rPr>
              <w:t>项目名称</w:t>
            </w:r>
          </w:p>
        </w:tc>
        <w:tc>
          <w:tcPr>
            <w:tcW w:w="8570" w:type="dxa"/>
            <w:gridSpan w:val="13"/>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right="3327"/>
              <w:jc w:val="center"/>
              <w:rPr>
                <w:rFonts w:cs="Times New Roman"/>
                <w:sz w:val="18"/>
                <w:szCs w:val="18"/>
              </w:rPr>
            </w:pPr>
            <w:r>
              <w:rPr>
                <w:rFonts w:hint="eastAsia" w:cs="Times New Roman"/>
                <w:color w:val="000000"/>
                <w:kern w:val="0"/>
                <w:sz w:val="18"/>
                <w:szCs w:val="18"/>
              </w:rPr>
              <w:t xml:space="preserve">                            校车购车补贴及运营经费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7"/>
              <w:ind w:left="331"/>
              <w:jc w:val="center"/>
              <w:rPr>
                <w:rFonts w:cs="Times New Roman"/>
                <w:sz w:val="18"/>
                <w:szCs w:val="18"/>
              </w:rPr>
            </w:pPr>
            <w:r>
              <w:rPr>
                <w:rFonts w:hint="eastAsia" w:cs="Times New Roman"/>
                <w:sz w:val="18"/>
                <w:szCs w:val="18"/>
              </w:rPr>
              <w:t>主管部门</w:t>
            </w:r>
          </w:p>
        </w:tc>
        <w:tc>
          <w:tcPr>
            <w:tcW w:w="5044" w:type="dxa"/>
            <w:gridSpan w:val="6"/>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left="1960" w:right="1953"/>
              <w:jc w:val="center"/>
              <w:rPr>
                <w:rFonts w:cs="Times New Roman"/>
                <w:sz w:val="18"/>
                <w:szCs w:val="18"/>
              </w:rPr>
            </w:pPr>
            <w:r>
              <w:rPr>
                <w:rFonts w:hint="eastAsia" w:cs="Times New Roman"/>
                <w:sz w:val="18"/>
                <w:szCs w:val="18"/>
              </w:rPr>
              <w:t>靖州县教育局</w:t>
            </w:r>
          </w:p>
        </w:tc>
        <w:tc>
          <w:tcPr>
            <w:tcW w:w="121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left="246"/>
              <w:jc w:val="center"/>
              <w:rPr>
                <w:rFonts w:cs="Times New Roman"/>
                <w:sz w:val="18"/>
                <w:szCs w:val="18"/>
              </w:rPr>
            </w:pPr>
            <w:r>
              <w:rPr>
                <w:rFonts w:hint="eastAsia" w:cs="Times New Roman"/>
                <w:sz w:val="18"/>
                <w:szCs w:val="18"/>
              </w:rPr>
              <w:t>实施单位</w:t>
            </w:r>
          </w:p>
        </w:tc>
        <w:tc>
          <w:tcPr>
            <w:tcW w:w="2312" w:type="dxa"/>
            <w:gridSpan w:val="5"/>
            <w:tcBorders>
              <w:top w:val="single" w:color="000000" w:sz="4" w:space="0"/>
              <w:left w:val="single" w:color="000000" w:sz="4" w:space="0"/>
              <w:bottom w:val="single" w:color="000000" w:sz="4" w:space="0"/>
              <w:right w:val="single" w:color="000000" w:sz="4" w:space="0"/>
            </w:tcBorders>
            <w:vAlign w:val="center"/>
          </w:tcPr>
          <w:p>
            <w:pPr>
              <w:pStyle w:val="8"/>
              <w:spacing w:line="360" w:lineRule="auto"/>
              <w:ind w:firstLine="540" w:firstLineChars="300"/>
              <w:rPr>
                <w:rFonts w:ascii="Times New Roman"/>
                <w:sz w:val="18"/>
                <w:szCs w:val="18"/>
              </w:rPr>
            </w:pPr>
            <w:r>
              <w:rPr>
                <w:rFonts w:hint="eastAsia" w:cs="Times New Roman"/>
                <w:sz w:val="18"/>
                <w:szCs w:val="18"/>
              </w:rPr>
              <w:t>靖州县教育局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restart"/>
            <w:tcBorders>
              <w:top w:val="nil"/>
              <w:left w:val="single" w:color="000000" w:sz="4" w:space="0"/>
              <w:bottom w:val="single" w:color="000000" w:sz="4" w:space="0"/>
              <w:right w:val="single" w:color="000000" w:sz="4" w:space="0"/>
            </w:tcBorders>
            <w:vAlign w:val="center"/>
          </w:tcPr>
          <w:p>
            <w:pPr>
              <w:pStyle w:val="8"/>
              <w:spacing w:before="2"/>
              <w:rPr>
                <w:rFonts w:ascii="Times New Roman"/>
                <w:sz w:val="17"/>
                <w:szCs w:val="17"/>
              </w:rPr>
            </w:pPr>
          </w:p>
          <w:p>
            <w:pPr>
              <w:pStyle w:val="8"/>
              <w:ind w:left="331"/>
              <w:jc w:val="center"/>
              <w:rPr>
                <w:rFonts w:cs="Times New Roman"/>
                <w:sz w:val="18"/>
                <w:szCs w:val="18"/>
              </w:rPr>
            </w:pPr>
            <w:r>
              <w:rPr>
                <w:rFonts w:hint="eastAsia" w:cs="Times New Roman"/>
                <w:sz w:val="18"/>
                <w:szCs w:val="18"/>
              </w:rPr>
              <w:t>项目资金</w:t>
            </w:r>
          </w:p>
          <w:p>
            <w:pPr>
              <w:pStyle w:val="8"/>
              <w:spacing w:before="10"/>
              <w:ind w:left="331"/>
              <w:jc w:val="center"/>
              <w:rPr>
                <w:rFonts w:cs="Times New Roman"/>
                <w:sz w:val="18"/>
                <w:szCs w:val="18"/>
              </w:rPr>
            </w:pPr>
            <w:r>
              <w:rPr>
                <w:rFonts w:hint="eastAsia" w:cs="Times New Roman"/>
                <w:sz w:val="18"/>
                <w:szCs w:val="18"/>
              </w:rPr>
              <w:t>（万元）</w:t>
            </w:r>
          </w:p>
        </w:tc>
        <w:tc>
          <w:tcPr>
            <w:tcW w:w="2354" w:type="dxa"/>
            <w:gridSpan w:val="3"/>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1301" w:type="dxa"/>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180" w:right="170"/>
              <w:jc w:val="center"/>
              <w:rPr>
                <w:rFonts w:cs="Times New Roman"/>
                <w:sz w:val="18"/>
                <w:szCs w:val="18"/>
              </w:rPr>
            </w:pPr>
            <w:r>
              <w:rPr>
                <w:rFonts w:hint="eastAsia" w:cs="Times New Roman"/>
                <w:sz w:val="18"/>
                <w:szCs w:val="18"/>
              </w:rPr>
              <w:t>年初预算数</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243"/>
              <w:jc w:val="center"/>
              <w:rPr>
                <w:rFonts w:cs="Times New Roman"/>
                <w:sz w:val="18"/>
                <w:szCs w:val="18"/>
              </w:rPr>
            </w:pPr>
            <w:r>
              <w:rPr>
                <w:rFonts w:hint="eastAsia" w:cs="Times New Roman"/>
                <w:sz w:val="18"/>
                <w:szCs w:val="18"/>
              </w:rPr>
              <w:t>全年预算数</w:t>
            </w:r>
          </w:p>
        </w:tc>
        <w:tc>
          <w:tcPr>
            <w:tcW w:w="121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157"/>
              <w:jc w:val="center"/>
              <w:rPr>
                <w:rFonts w:cs="Times New Roman"/>
                <w:sz w:val="18"/>
                <w:szCs w:val="18"/>
              </w:rPr>
            </w:pPr>
            <w:r>
              <w:rPr>
                <w:rFonts w:hint="eastAsia" w:cs="Times New Roman"/>
                <w:sz w:val="18"/>
                <w:szCs w:val="18"/>
              </w:rPr>
              <w:t>全年执行数</w:t>
            </w:r>
          </w:p>
        </w:tc>
        <w:tc>
          <w:tcPr>
            <w:tcW w:w="808"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222"/>
              <w:jc w:val="center"/>
              <w:rPr>
                <w:rFonts w:cs="Times New Roman"/>
                <w:sz w:val="18"/>
                <w:szCs w:val="18"/>
              </w:rPr>
            </w:pPr>
            <w:r>
              <w:rPr>
                <w:rFonts w:hint="eastAsia" w:cs="Times New Roman"/>
                <w:sz w:val="18"/>
                <w:szCs w:val="18"/>
              </w:rPr>
              <w:t>分值</w:t>
            </w:r>
          </w:p>
        </w:tc>
        <w:tc>
          <w:tcPr>
            <w:tcW w:w="79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214"/>
              <w:jc w:val="center"/>
              <w:rPr>
                <w:rFonts w:cs="Times New Roman"/>
                <w:sz w:val="18"/>
                <w:szCs w:val="18"/>
              </w:rPr>
            </w:pPr>
            <w:r>
              <w:rPr>
                <w:rFonts w:hint="eastAsia" w:cs="Times New Roman"/>
                <w:sz w:val="18"/>
                <w:szCs w:val="18"/>
              </w:rPr>
              <w:t>执行率</w:t>
            </w: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218" w:right="209"/>
              <w:jc w:val="center"/>
              <w:rPr>
                <w:rFonts w:cs="Times New Roman"/>
                <w:sz w:val="18"/>
                <w:szCs w:val="18"/>
              </w:rPr>
            </w:pPr>
            <w:r>
              <w:rPr>
                <w:rFonts w:hint="eastAsia" w:cs="Times New Roman"/>
                <w:sz w:val="18"/>
                <w:szCs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138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2354" w:type="dxa"/>
            <w:gridSpan w:val="3"/>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106"/>
              <w:jc w:val="center"/>
              <w:rPr>
                <w:rFonts w:cs="Times New Roman"/>
                <w:sz w:val="18"/>
                <w:szCs w:val="18"/>
              </w:rPr>
            </w:pPr>
            <w:r>
              <w:rPr>
                <w:rFonts w:hint="eastAsia" w:cs="Times New Roman"/>
                <w:sz w:val="18"/>
                <w:szCs w:val="18"/>
              </w:rPr>
              <w:t>年度资金总额</w:t>
            </w:r>
          </w:p>
        </w:tc>
        <w:tc>
          <w:tcPr>
            <w:tcW w:w="1301" w:type="dxa"/>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178" w:right="170"/>
              <w:jc w:val="center"/>
              <w:rPr>
                <w:rFonts w:hint="default" w:eastAsia="宋体" w:cs="Times New Roman"/>
                <w:sz w:val="18"/>
                <w:szCs w:val="18"/>
                <w:lang w:val="en-US" w:eastAsia="zh-CN"/>
              </w:rPr>
            </w:pPr>
            <w:r>
              <w:rPr>
                <w:rFonts w:hint="eastAsia" w:cs="Times New Roman"/>
                <w:sz w:val="18"/>
                <w:szCs w:val="18"/>
                <w:lang w:val="en-US" w:eastAsia="zh-CN"/>
              </w:rPr>
              <w:t>250.5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377"/>
              <w:jc w:val="center"/>
              <w:rPr>
                <w:rFonts w:hint="eastAsia" w:eastAsia="宋体" w:cs="Times New Roman"/>
                <w:sz w:val="18"/>
                <w:szCs w:val="18"/>
                <w:lang w:eastAsia="zh-CN"/>
              </w:rPr>
            </w:pPr>
            <w:r>
              <w:rPr>
                <w:rFonts w:hint="eastAsia" w:cs="Times New Roman"/>
                <w:sz w:val="18"/>
                <w:szCs w:val="18"/>
                <w:lang w:eastAsia="zh-CN"/>
              </w:rPr>
              <w:t>250.5</w:t>
            </w:r>
          </w:p>
        </w:tc>
        <w:tc>
          <w:tcPr>
            <w:tcW w:w="121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377"/>
              <w:jc w:val="center"/>
              <w:rPr>
                <w:rFonts w:hint="eastAsia" w:cs="Times New Roman"/>
                <w:sz w:val="18"/>
                <w:szCs w:val="18"/>
                <w:lang w:eastAsia="zh-CN"/>
              </w:rPr>
            </w:pPr>
            <w:r>
              <w:rPr>
                <w:rFonts w:hint="eastAsia" w:cs="Times New Roman"/>
                <w:sz w:val="18"/>
                <w:szCs w:val="18"/>
                <w:lang w:val="en-US" w:eastAsia="zh-CN"/>
              </w:rPr>
              <w:t>220.155</w:t>
            </w:r>
          </w:p>
        </w:tc>
        <w:tc>
          <w:tcPr>
            <w:tcW w:w="808"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294" w:right="283"/>
              <w:jc w:val="center"/>
              <w:rPr>
                <w:rFonts w:cs="Times New Roman"/>
                <w:sz w:val="18"/>
                <w:szCs w:val="18"/>
              </w:rPr>
            </w:pPr>
            <w:r>
              <w:rPr>
                <w:rFonts w:hint="eastAsia" w:cs="Times New Roman"/>
                <w:sz w:val="18"/>
                <w:szCs w:val="18"/>
              </w:rPr>
              <w:t>10</w:t>
            </w:r>
          </w:p>
        </w:tc>
        <w:tc>
          <w:tcPr>
            <w:tcW w:w="79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302"/>
              <w:jc w:val="center"/>
              <w:rPr>
                <w:rFonts w:cs="Times New Roman"/>
                <w:sz w:val="18"/>
                <w:szCs w:val="18"/>
              </w:rPr>
            </w:pPr>
            <w:r>
              <w:rPr>
                <w:rFonts w:hint="eastAsia" w:cs="Times New Roman"/>
                <w:sz w:val="18"/>
                <w:szCs w:val="18"/>
                <w:lang w:val="en-US" w:eastAsia="zh-CN"/>
              </w:rPr>
              <w:t>88</w:t>
            </w:r>
            <w:r>
              <w:rPr>
                <w:rFonts w:hint="eastAsia" w:cs="Times New Roman"/>
                <w:sz w:val="18"/>
                <w:szCs w:val="18"/>
              </w:rPr>
              <w:t>%</w:t>
            </w: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217" w:right="209"/>
              <w:jc w:val="center"/>
              <w:rPr>
                <w:rFonts w:hint="default" w:eastAsia="宋体" w:cs="Times New Roman"/>
                <w:sz w:val="18"/>
                <w:szCs w:val="18"/>
                <w:lang w:val="en-US" w:eastAsia="zh-CN"/>
              </w:rPr>
            </w:pPr>
            <w:r>
              <w:rPr>
                <w:rFonts w:hint="eastAsia" w:cs="Times New Roman"/>
                <w:sz w:val="18"/>
                <w:szCs w:val="18"/>
                <w:lang w:val="en-US" w:eastAsia="zh-CN"/>
              </w:rPr>
              <w:t>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2354" w:type="dxa"/>
            <w:gridSpan w:val="3"/>
            <w:tcBorders>
              <w:top w:val="single" w:color="000000" w:sz="4" w:space="0"/>
              <w:left w:val="single" w:color="000000" w:sz="4" w:space="0"/>
              <w:bottom w:val="single" w:color="000000" w:sz="4" w:space="0"/>
              <w:right w:val="single" w:color="000000" w:sz="4" w:space="0"/>
            </w:tcBorders>
            <w:vAlign w:val="center"/>
          </w:tcPr>
          <w:p>
            <w:pPr>
              <w:pStyle w:val="8"/>
              <w:spacing w:before="56" w:line="360" w:lineRule="auto"/>
              <w:ind w:left="365"/>
              <w:jc w:val="center"/>
              <w:rPr>
                <w:rFonts w:cs="Times New Roman"/>
                <w:sz w:val="18"/>
                <w:szCs w:val="18"/>
              </w:rPr>
            </w:pPr>
            <w:r>
              <w:rPr>
                <w:rFonts w:hint="eastAsia" w:cs="Times New Roman"/>
                <w:sz w:val="18"/>
                <w:szCs w:val="18"/>
              </w:rPr>
              <w:t>其中：当年财政拨款</w:t>
            </w:r>
          </w:p>
        </w:tc>
        <w:tc>
          <w:tcPr>
            <w:tcW w:w="1301" w:type="dxa"/>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178" w:leftChars="0" w:right="170" w:rightChars="0"/>
              <w:jc w:val="center"/>
              <w:rPr>
                <w:rFonts w:hint="default" w:ascii="宋体" w:hAnsi="宋体" w:eastAsia="宋体" w:cs="Times New Roman"/>
                <w:kern w:val="2"/>
                <w:sz w:val="18"/>
                <w:szCs w:val="18"/>
                <w:lang w:val="en-US" w:eastAsia="zh-CN" w:bidi="ar-SA"/>
              </w:rPr>
            </w:pPr>
            <w:r>
              <w:rPr>
                <w:rFonts w:hint="eastAsia" w:cs="Times New Roman"/>
                <w:sz w:val="18"/>
                <w:szCs w:val="18"/>
                <w:lang w:val="en-US" w:eastAsia="zh-CN"/>
              </w:rPr>
              <w:t>250.5</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377" w:leftChars="0"/>
              <w:jc w:val="center"/>
              <w:rPr>
                <w:rFonts w:hint="eastAsia" w:ascii="宋体" w:hAnsi="宋体" w:eastAsia="宋体" w:cs="Times New Roman"/>
                <w:kern w:val="2"/>
                <w:sz w:val="18"/>
                <w:szCs w:val="18"/>
                <w:lang w:val="en-US" w:eastAsia="zh-CN" w:bidi="ar-SA"/>
              </w:rPr>
            </w:pPr>
            <w:r>
              <w:rPr>
                <w:rFonts w:hint="eastAsia" w:cs="Times New Roman"/>
                <w:sz w:val="18"/>
                <w:szCs w:val="18"/>
                <w:lang w:eastAsia="zh-CN"/>
              </w:rPr>
              <w:t>250.5</w:t>
            </w:r>
          </w:p>
        </w:tc>
        <w:tc>
          <w:tcPr>
            <w:tcW w:w="121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8" w:line="360" w:lineRule="auto"/>
              <w:ind w:left="377"/>
              <w:jc w:val="center"/>
              <w:rPr>
                <w:rFonts w:hint="eastAsia" w:cs="Times New Roman"/>
                <w:sz w:val="18"/>
                <w:szCs w:val="18"/>
                <w:lang w:val="en-US" w:eastAsia="zh-CN"/>
              </w:rPr>
            </w:pPr>
            <w:r>
              <w:rPr>
                <w:rFonts w:hint="eastAsia" w:cs="Times New Roman"/>
                <w:sz w:val="18"/>
                <w:szCs w:val="18"/>
                <w:lang w:val="en-US" w:eastAsia="zh-CN"/>
              </w:rPr>
              <w:t>220.155</w:t>
            </w:r>
          </w:p>
        </w:tc>
        <w:tc>
          <w:tcPr>
            <w:tcW w:w="808"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6" w:line="360" w:lineRule="auto"/>
              <w:ind w:left="294" w:right="283"/>
              <w:jc w:val="center"/>
              <w:rPr>
                <w:rFonts w:cs="Times New Roman"/>
                <w:sz w:val="18"/>
                <w:szCs w:val="18"/>
              </w:rPr>
            </w:pPr>
          </w:p>
        </w:tc>
        <w:tc>
          <w:tcPr>
            <w:tcW w:w="79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6" w:line="360" w:lineRule="auto"/>
              <w:ind w:left="302"/>
              <w:jc w:val="center"/>
              <w:rPr>
                <w:rFonts w:cs="Times New Roman"/>
                <w:sz w:val="18"/>
                <w:szCs w:val="18"/>
              </w:rPr>
            </w:pP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8"/>
              <w:spacing w:before="56" w:line="360" w:lineRule="auto"/>
              <w:ind w:left="217" w:right="209"/>
              <w:jc w:val="center"/>
              <w:rPr>
                <w:rFonts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2354" w:type="dxa"/>
            <w:gridSpan w:val="3"/>
            <w:tcBorders>
              <w:top w:val="single" w:color="000000" w:sz="4" w:space="0"/>
              <w:left w:val="single" w:color="000000" w:sz="4" w:space="0"/>
              <w:bottom w:val="single" w:color="000000" w:sz="4" w:space="0"/>
              <w:right w:val="single" w:color="000000" w:sz="4" w:space="0"/>
            </w:tcBorders>
            <w:vAlign w:val="center"/>
          </w:tcPr>
          <w:p>
            <w:pPr>
              <w:pStyle w:val="8"/>
              <w:spacing w:before="56" w:line="360" w:lineRule="auto"/>
              <w:ind w:left="905"/>
              <w:jc w:val="center"/>
              <w:rPr>
                <w:rFonts w:cs="Times New Roman"/>
                <w:sz w:val="18"/>
                <w:szCs w:val="18"/>
              </w:rPr>
            </w:pPr>
            <w:r>
              <w:rPr>
                <w:rFonts w:hint="eastAsia" w:cs="Times New Roman"/>
                <w:sz w:val="18"/>
                <w:szCs w:val="18"/>
              </w:rPr>
              <w:t>上年结转资金</w:t>
            </w:r>
          </w:p>
        </w:tc>
        <w:tc>
          <w:tcPr>
            <w:tcW w:w="1301" w:type="dxa"/>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121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808"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6" w:line="360" w:lineRule="auto"/>
              <w:ind w:left="10"/>
              <w:jc w:val="center"/>
              <w:rPr>
                <w:rFonts w:cs="Times New Roman"/>
                <w:sz w:val="18"/>
                <w:szCs w:val="18"/>
              </w:rPr>
            </w:pPr>
            <w:r>
              <w:rPr>
                <w:rFonts w:hint="eastAsia" w:cs="Times New Roman"/>
                <w:sz w:val="18"/>
                <w:szCs w:val="18"/>
              </w:rPr>
              <w:t>—</w:t>
            </w:r>
          </w:p>
        </w:tc>
        <w:tc>
          <w:tcPr>
            <w:tcW w:w="79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8"/>
              <w:spacing w:before="56" w:line="360" w:lineRule="auto"/>
              <w:ind w:left="7"/>
              <w:jc w:val="center"/>
              <w:rPr>
                <w:rFonts w:cs="Times New Roman"/>
                <w:sz w:val="18"/>
                <w:szCs w:val="18"/>
              </w:rPr>
            </w:pPr>
            <w:r>
              <w:rPr>
                <w:rFonts w:hint="eastAsia" w:cs="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2354" w:type="dxa"/>
            <w:gridSpan w:val="3"/>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left="905"/>
              <w:jc w:val="center"/>
              <w:rPr>
                <w:rFonts w:cs="Times New Roman"/>
                <w:sz w:val="18"/>
                <w:szCs w:val="18"/>
              </w:rPr>
            </w:pPr>
            <w:r>
              <w:rPr>
                <w:rFonts w:hint="eastAsia" w:cs="Times New Roman"/>
                <w:sz w:val="18"/>
                <w:szCs w:val="18"/>
              </w:rPr>
              <w:t>其他资金</w:t>
            </w:r>
          </w:p>
        </w:tc>
        <w:tc>
          <w:tcPr>
            <w:tcW w:w="1301" w:type="dxa"/>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121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808"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left="10"/>
              <w:jc w:val="center"/>
              <w:rPr>
                <w:rFonts w:cs="Times New Roman"/>
                <w:sz w:val="18"/>
                <w:szCs w:val="18"/>
              </w:rPr>
            </w:pPr>
            <w:r>
              <w:rPr>
                <w:rFonts w:hint="eastAsia" w:cs="Times New Roman"/>
                <w:sz w:val="18"/>
                <w:szCs w:val="18"/>
              </w:rPr>
              <w:t>—</w:t>
            </w:r>
          </w:p>
        </w:tc>
        <w:tc>
          <w:tcPr>
            <w:tcW w:w="79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line="360" w:lineRule="auto"/>
              <w:jc w:val="center"/>
              <w:rPr>
                <w:rFonts w:ascii="Times New Roman"/>
                <w:sz w:val="18"/>
                <w:szCs w:val="18"/>
              </w:rPr>
            </w:pP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left="7"/>
              <w:jc w:val="center"/>
              <w:rPr>
                <w:rFonts w:cs="Times New Roman"/>
                <w:sz w:val="18"/>
                <w:szCs w:val="18"/>
              </w:rPr>
            </w:pPr>
            <w:r>
              <w:rPr>
                <w:rFonts w:hint="eastAsia" w:cs="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504" w:type="dxa"/>
            <w:vMerge w:val="restart"/>
            <w:tcBorders>
              <w:top w:val="nil"/>
              <w:left w:val="single" w:color="000000" w:sz="4" w:space="0"/>
              <w:bottom w:val="single" w:color="000000" w:sz="4" w:space="0"/>
              <w:right w:val="single" w:color="000000" w:sz="4" w:space="0"/>
            </w:tcBorders>
            <w:vAlign w:val="center"/>
          </w:tcPr>
          <w:p>
            <w:pPr>
              <w:pStyle w:val="8"/>
              <w:spacing w:before="3"/>
              <w:jc w:val="center"/>
              <w:rPr>
                <w:rFonts w:ascii="Times New Roman"/>
                <w:sz w:val="26"/>
                <w:szCs w:val="26"/>
              </w:rPr>
            </w:pPr>
          </w:p>
          <w:p>
            <w:pPr>
              <w:pStyle w:val="8"/>
              <w:spacing w:line="247" w:lineRule="auto"/>
              <w:ind w:left="161" w:right="150"/>
              <w:jc w:val="center"/>
              <w:rPr>
                <w:rFonts w:cs="Times New Roman"/>
                <w:sz w:val="18"/>
                <w:szCs w:val="18"/>
              </w:rPr>
            </w:pPr>
            <w:r>
              <w:rPr>
                <w:rFonts w:hint="eastAsia" w:cs="Times New Roman"/>
                <w:sz w:val="18"/>
                <w:szCs w:val="18"/>
              </w:rPr>
              <w:t>年度总体目标</w:t>
            </w:r>
          </w:p>
        </w:tc>
        <w:tc>
          <w:tcPr>
            <w:tcW w:w="5927" w:type="dxa"/>
            <w:gridSpan w:val="7"/>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left="2582" w:right="2575"/>
              <w:jc w:val="center"/>
              <w:rPr>
                <w:rFonts w:cs="Times New Roman"/>
                <w:sz w:val="18"/>
                <w:szCs w:val="18"/>
              </w:rPr>
            </w:pPr>
            <w:r>
              <w:rPr>
                <w:rFonts w:hint="eastAsia" w:cs="Times New Roman"/>
                <w:sz w:val="18"/>
                <w:szCs w:val="18"/>
              </w:rPr>
              <w:t>预期目标</w:t>
            </w:r>
          </w:p>
        </w:tc>
        <w:tc>
          <w:tcPr>
            <w:tcW w:w="3526" w:type="dxa"/>
            <w:gridSpan w:val="7"/>
            <w:tcBorders>
              <w:top w:val="single" w:color="000000" w:sz="4" w:space="0"/>
              <w:left w:val="single" w:color="000000" w:sz="4" w:space="0"/>
              <w:bottom w:val="single" w:color="000000" w:sz="4" w:space="0"/>
              <w:right w:val="single" w:color="000000" w:sz="4" w:space="0"/>
            </w:tcBorders>
            <w:vAlign w:val="center"/>
          </w:tcPr>
          <w:p>
            <w:pPr>
              <w:pStyle w:val="8"/>
              <w:spacing w:before="57" w:line="360" w:lineRule="auto"/>
              <w:ind w:left="1354" w:right="1344"/>
              <w:jc w:val="center"/>
              <w:rPr>
                <w:rFonts w:cs="Times New Roman"/>
                <w:sz w:val="18"/>
                <w:szCs w:val="18"/>
              </w:rPr>
            </w:pPr>
            <w:r>
              <w:rPr>
                <w:rFonts w:hint="eastAsia" w:cs="Times New Roman"/>
                <w:sz w:val="18"/>
                <w:szCs w:val="18"/>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2"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5927" w:type="dxa"/>
            <w:gridSpan w:val="7"/>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cs="Times New Roman"/>
                <w:sz w:val="18"/>
                <w:szCs w:val="18"/>
              </w:rPr>
            </w:pPr>
            <w:r>
              <w:rPr>
                <w:rFonts w:hint="eastAsia" w:cs="Times New Roman"/>
                <w:sz w:val="18"/>
                <w:szCs w:val="18"/>
              </w:rPr>
              <w:t>根据校车运营的数量、服务质量按季度拨付运营补贴</w:t>
            </w:r>
          </w:p>
          <w:p>
            <w:pPr>
              <w:pStyle w:val="8"/>
              <w:spacing w:before="9"/>
              <w:jc w:val="center"/>
              <w:rPr>
                <w:rFonts w:ascii="Times New Roman"/>
                <w:sz w:val="24"/>
                <w:szCs w:val="24"/>
              </w:rPr>
            </w:pPr>
          </w:p>
          <w:p>
            <w:pPr>
              <w:pStyle w:val="8"/>
              <w:spacing w:line="247" w:lineRule="auto"/>
              <w:ind w:left="108" w:right="96"/>
              <w:jc w:val="center"/>
              <w:rPr>
                <w:rFonts w:cs="Times New Roman"/>
                <w:sz w:val="18"/>
                <w:szCs w:val="18"/>
              </w:rPr>
            </w:pPr>
          </w:p>
        </w:tc>
        <w:tc>
          <w:tcPr>
            <w:tcW w:w="3526" w:type="dxa"/>
            <w:gridSpan w:val="7"/>
            <w:tcBorders>
              <w:top w:val="single" w:color="000000" w:sz="4" w:space="0"/>
              <w:left w:val="single" w:color="000000" w:sz="4" w:space="0"/>
              <w:bottom w:val="single" w:color="000000" w:sz="4" w:space="0"/>
              <w:right w:val="single" w:color="000000" w:sz="4" w:space="0"/>
            </w:tcBorders>
            <w:vAlign w:val="center"/>
          </w:tcPr>
          <w:p>
            <w:pPr>
              <w:pStyle w:val="8"/>
              <w:spacing w:before="12" w:line="247" w:lineRule="auto"/>
              <w:ind w:left="107" w:right="6"/>
              <w:jc w:val="center"/>
              <w:rPr>
                <w:rFonts w:cs="Times New Roman"/>
                <w:sz w:val="18"/>
                <w:szCs w:val="18"/>
              </w:rPr>
            </w:pPr>
            <w:r>
              <w:rPr>
                <w:rFonts w:hint="eastAsia" w:cs="Times New Roman"/>
                <w:sz w:val="18"/>
                <w:szCs w:val="18"/>
              </w:rPr>
              <w:t>每季度拨付校车运营补贴</w:t>
            </w:r>
            <w:r>
              <w:rPr>
                <w:rFonts w:hint="eastAsia" w:cs="Times New Roman"/>
                <w:sz w:val="18"/>
                <w:szCs w:val="18"/>
                <w:lang w:val="en-US" w:eastAsia="zh-CN"/>
              </w:rPr>
              <w:t>62.625</w:t>
            </w:r>
            <w:r>
              <w:rPr>
                <w:rFonts w:hint="eastAsia" w:cs="Times New Roman"/>
                <w:sz w:val="18"/>
                <w:szCs w:val="18"/>
              </w:rPr>
              <w:t>万元，全年共拨付</w:t>
            </w:r>
            <w:r>
              <w:rPr>
                <w:rFonts w:hint="eastAsia" w:cs="Times New Roman"/>
                <w:sz w:val="18"/>
                <w:szCs w:val="18"/>
                <w:lang w:eastAsia="zh-CN"/>
              </w:rPr>
              <w:t>250.5</w:t>
            </w:r>
            <w:r>
              <w:rPr>
                <w:rFonts w:hint="eastAsia" w:cs="Times New Roman"/>
                <w:sz w:val="18"/>
                <w:szCs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504" w:type="dxa"/>
            <w:vMerge w:val="restart"/>
            <w:tcBorders>
              <w:top w:val="nil"/>
              <w:left w:val="single" w:color="000000" w:sz="4" w:space="0"/>
              <w:bottom w:val="single" w:color="000000" w:sz="4" w:space="0"/>
              <w:right w:val="single" w:color="000000" w:sz="4" w:space="0"/>
            </w:tcBorders>
            <w:vAlign w:val="center"/>
          </w:tcPr>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spacing w:before="7"/>
              <w:jc w:val="center"/>
              <w:rPr>
                <w:rFonts w:ascii="Times New Roman"/>
                <w:sz w:val="17"/>
                <w:szCs w:val="17"/>
              </w:rPr>
            </w:pPr>
          </w:p>
          <w:p>
            <w:pPr>
              <w:pStyle w:val="8"/>
              <w:spacing w:line="247" w:lineRule="auto"/>
              <w:ind w:left="161" w:right="150"/>
              <w:jc w:val="center"/>
              <w:rPr>
                <w:rFonts w:cs="Times New Roman"/>
                <w:sz w:val="18"/>
                <w:szCs w:val="18"/>
              </w:rPr>
            </w:pPr>
            <w:r>
              <w:rPr>
                <w:rFonts w:hint="eastAsia" w:cs="Times New Roman"/>
                <w:sz w:val="18"/>
                <w:szCs w:val="18"/>
              </w:rPr>
              <w:t>绩</w:t>
            </w: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r>
              <w:rPr>
                <w:rFonts w:hint="eastAsia" w:cs="Times New Roman"/>
                <w:sz w:val="18"/>
                <w:szCs w:val="18"/>
              </w:rPr>
              <w:t>效</w:t>
            </w: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r>
              <w:rPr>
                <w:rFonts w:hint="eastAsia" w:cs="Times New Roman"/>
                <w:sz w:val="18"/>
                <w:szCs w:val="18"/>
              </w:rPr>
              <w:t>指</w:t>
            </w: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p>
          <w:p>
            <w:pPr>
              <w:pStyle w:val="8"/>
              <w:spacing w:line="247" w:lineRule="auto"/>
              <w:ind w:left="161" w:right="150"/>
              <w:jc w:val="center"/>
              <w:rPr>
                <w:rFonts w:cs="Times New Roman"/>
                <w:sz w:val="18"/>
                <w:szCs w:val="18"/>
              </w:rPr>
            </w:pPr>
            <w:r>
              <w:rPr>
                <w:rFonts w:hint="eastAsia" w:cs="Times New Roman"/>
                <w:sz w:val="18"/>
                <w:szCs w:val="18"/>
              </w:rPr>
              <w:t>标</w:t>
            </w:r>
          </w:p>
        </w:tc>
        <w:tc>
          <w:tcPr>
            <w:tcW w:w="1060"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31" w:line="240" w:lineRule="atLeast"/>
              <w:ind w:left="351" w:right="159" w:hanging="180"/>
              <w:jc w:val="center"/>
              <w:rPr>
                <w:rFonts w:cs="Times New Roman"/>
                <w:sz w:val="18"/>
                <w:szCs w:val="18"/>
              </w:rPr>
            </w:pPr>
            <w:r>
              <w:rPr>
                <w:rFonts w:hint="eastAsia" w:cs="Times New Roman"/>
                <w:sz w:val="18"/>
                <w:szCs w:val="18"/>
              </w:rPr>
              <w:t>一级指标</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8"/>
              <w:spacing w:before="160"/>
              <w:ind w:firstLine="360" w:firstLineChars="200"/>
              <w:jc w:val="center"/>
              <w:rPr>
                <w:rFonts w:cs="Times New Roman"/>
                <w:sz w:val="18"/>
                <w:szCs w:val="18"/>
              </w:rPr>
            </w:pPr>
            <w:r>
              <w:rPr>
                <w:rFonts w:hint="eastAsia" w:cs="Times New Roman"/>
                <w:sz w:val="18"/>
                <w:szCs w:val="18"/>
              </w:rPr>
              <w:t>二级指标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pStyle w:val="8"/>
              <w:spacing w:before="160"/>
              <w:ind w:right="836" w:firstLine="720" w:firstLineChars="400"/>
              <w:jc w:val="center"/>
              <w:rPr>
                <w:rFonts w:cs="Times New Roman"/>
                <w:sz w:val="18"/>
                <w:szCs w:val="18"/>
              </w:rPr>
            </w:pPr>
            <w:r>
              <w:rPr>
                <w:rFonts w:hint="eastAsia" w:cs="Times New Roman"/>
                <w:sz w:val="18"/>
                <w:szCs w:val="18"/>
              </w:rPr>
              <w:t>三级指标</w:t>
            </w:r>
          </w:p>
        </w:tc>
        <w:tc>
          <w:tcPr>
            <w:tcW w:w="1079" w:type="dxa"/>
            <w:tcBorders>
              <w:top w:val="single" w:color="000000" w:sz="4" w:space="0"/>
              <w:left w:val="single" w:color="000000" w:sz="4" w:space="0"/>
              <w:bottom w:val="single" w:color="000000" w:sz="4" w:space="0"/>
              <w:right w:val="single" w:color="000000" w:sz="4" w:space="0"/>
            </w:tcBorders>
            <w:vAlign w:val="center"/>
          </w:tcPr>
          <w:p>
            <w:pPr>
              <w:pStyle w:val="8"/>
              <w:spacing w:before="31" w:line="240" w:lineRule="atLeast"/>
              <w:ind w:left="269" w:right="257" w:firstLine="88"/>
              <w:jc w:val="center"/>
              <w:rPr>
                <w:rFonts w:cs="Times New Roman"/>
                <w:sz w:val="18"/>
                <w:szCs w:val="18"/>
              </w:rPr>
            </w:pPr>
            <w:r>
              <w:rPr>
                <w:rFonts w:hint="eastAsia" w:cs="Times New Roman"/>
                <w:sz w:val="18"/>
                <w:szCs w:val="18"/>
              </w:rPr>
              <w:t>年度指标值</w:t>
            </w:r>
          </w:p>
        </w:tc>
        <w:tc>
          <w:tcPr>
            <w:tcW w:w="890" w:type="dxa"/>
            <w:tcBorders>
              <w:top w:val="single" w:color="000000" w:sz="4" w:space="0"/>
              <w:left w:val="single" w:color="000000" w:sz="4" w:space="0"/>
              <w:bottom w:val="single" w:color="000000" w:sz="4" w:space="0"/>
              <w:right w:val="single" w:color="000000" w:sz="4" w:space="0"/>
            </w:tcBorders>
            <w:vAlign w:val="center"/>
          </w:tcPr>
          <w:p>
            <w:pPr>
              <w:pStyle w:val="8"/>
              <w:spacing w:before="31" w:line="240" w:lineRule="atLeast"/>
              <w:ind w:left="174" w:right="163" w:firstLine="91"/>
              <w:jc w:val="center"/>
              <w:rPr>
                <w:rFonts w:cs="Times New Roman"/>
                <w:sz w:val="18"/>
                <w:szCs w:val="18"/>
              </w:rPr>
            </w:pPr>
            <w:r>
              <w:rPr>
                <w:rFonts w:hint="eastAsia" w:cs="Times New Roman"/>
                <w:sz w:val="18"/>
                <w:szCs w:val="18"/>
              </w:rPr>
              <w:t>实际完成值</w:t>
            </w:r>
          </w:p>
        </w:tc>
        <w:tc>
          <w:tcPr>
            <w:tcW w:w="64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160"/>
              <w:ind w:left="141"/>
              <w:jc w:val="center"/>
              <w:rPr>
                <w:rFonts w:cs="Times New Roman"/>
                <w:sz w:val="18"/>
                <w:szCs w:val="18"/>
              </w:rPr>
            </w:pPr>
            <w:r>
              <w:rPr>
                <w:rFonts w:hint="eastAsia" w:cs="Times New Roman"/>
                <w:sz w:val="18"/>
                <w:szCs w:val="18"/>
              </w:rPr>
              <w:t>分值</w:t>
            </w:r>
          </w:p>
        </w:tc>
        <w:tc>
          <w:tcPr>
            <w:tcW w:w="749"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160"/>
              <w:ind w:left="140"/>
              <w:jc w:val="center"/>
              <w:rPr>
                <w:rFonts w:cs="Times New Roman"/>
                <w:sz w:val="18"/>
                <w:szCs w:val="18"/>
              </w:rPr>
            </w:pPr>
            <w:r>
              <w:rPr>
                <w:rFonts w:hint="eastAsia" w:cs="Times New Roman"/>
                <w:sz w:val="18"/>
                <w:szCs w:val="18"/>
              </w:rPr>
              <w:t>得分</w:t>
            </w: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31" w:line="240" w:lineRule="atLeast"/>
              <w:ind w:left="464" w:right="184" w:hanging="269"/>
              <w:jc w:val="center"/>
              <w:rPr>
                <w:rFonts w:cs="Times New Roman"/>
                <w:sz w:val="18"/>
                <w:szCs w:val="18"/>
              </w:rPr>
            </w:pPr>
            <w:r>
              <w:rPr>
                <w:rFonts w:hint="eastAsia" w:cs="Times New Roman"/>
                <w:sz w:val="18"/>
                <w:szCs w:val="18"/>
              </w:rPr>
              <w:t>偏差原因</w:t>
            </w:r>
          </w:p>
          <w:p>
            <w:pPr>
              <w:pStyle w:val="8"/>
              <w:spacing w:before="31" w:line="240" w:lineRule="atLeast"/>
              <w:ind w:left="464" w:right="184" w:hanging="269"/>
              <w:jc w:val="center"/>
              <w:rPr>
                <w:rFonts w:cs="Times New Roman"/>
                <w:sz w:val="18"/>
                <w:szCs w:val="18"/>
              </w:rPr>
            </w:pPr>
            <w:r>
              <w:rPr>
                <w:rFonts w:hint="eastAsia" w:cs="Times New Roman"/>
                <w:sz w:val="18"/>
                <w:szCs w:val="18"/>
              </w:rPr>
              <w:t>分析及改进</w:t>
            </w:r>
          </w:p>
          <w:p>
            <w:pPr>
              <w:pStyle w:val="8"/>
              <w:spacing w:before="31" w:line="240" w:lineRule="atLeast"/>
              <w:ind w:left="464" w:right="184" w:hanging="269"/>
              <w:jc w:val="center"/>
              <w:rPr>
                <w:rFonts w:cs="Times New Roman"/>
                <w:sz w:val="18"/>
                <w:szCs w:val="18"/>
              </w:rPr>
            </w:pPr>
            <w:r>
              <w:rPr>
                <w:rFonts w:hint="eastAsia" w:cs="Times New Roman"/>
                <w:sz w:val="18"/>
                <w:szCs w:val="18"/>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restart"/>
            <w:tcBorders>
              <w:top w:val="nil"/>
              <w:left w:val="single" w:color="000000" w:sz="4" w:space="0"/>
              <w:bottom w:val="single" w:color="000000" w:sz="4" w:space="0"/>
              <w:right w:val="single" w:color="000000" w:sz="4" w:space="0"/>
            </w:tcBorders>
            <w:vAlign w:val="center"/>
          </w:tcPr>
          <w:p>
            <w:pPr>
              <w:pStyle w:val="8"/>
              <w:spacing w:before="3"/>
              <w:jc w:val="center"/>
              <w:rPr>
                <w:rFonts w:ascii="Times New Roman"/>
                <w:sz w:val="18"/>
                <w:szCs w:val="18"/>
              </w:rPr>
            </w:pPr>
          </w:p>
          <w:p>
            <w:pPr>
              <w:pStyle w:val="8"/>
              <w:spacing w:line="324" w:lineRule="auto"/>
              <w:ind w:left="351" w:right="159" w:hanging="180"/>
              <w:jc w:val="center"/>
              <w:rPr>
                <w:rFonts w:cs="Times New Roman"/>
                <w:sz w:val="18"/>
                <w:szCs w:val="18"/>
              </w:rPr>
            </w:pPr>
            <w:r>
              <w:rPr>
                <w:rFonts w:hint="eastAsia" w:cs="Times New Roman"/>
                <w:sz w:val="18"/>
                <w:szCs w:val="18"/>
              </w:rPr>
              <w:t>产出指标</w:t>
            </w:r>
          </w:p>
        </w:tc>
        <w:tc>
          <w:tcPr>
            <w:tcW w:w="1500" w:type="dxa"/>
            <w:tcBorders>
              <w:top w:val="nil"/>
              <w:left w:val="single" w:color="000000" w:sz="4" w:space="0"/>
              <w:bottom w:val="single" w:color="000000" w:sz="4" w:space="0"/>
              <w:right w:val="single" w:color="000000" w:sz="4" w:space="0"/>
            </w:tcBorders>
            <w:vAlign w:val="center"/>
          </w:tcPr>
          <w:p>
            <w:pPr>
              <w:pStyle w:val="8"/>
              <w:spacing w:before="1"/>
              <w:jc w:val="center"/>
              <w:rPr>
                <w:rFonts w:ascii="Times New Roman"/>
                <w:sz w:val="14"/>
                <w:szCs w:val="14"/>
              </w:rPr>
            </w:pPr>
          </w:p>
          <w:p>
            <w:pPr>
              <w:pStyle w:val="8"/>
              <w:spacing w:before="1"/>
              <w:jc w:val="center"/>
              <w:rPr>
                <w:rFonts w:cs="Times New Roman"/>
                <w:sz w:val="18"/>
                <w:szCs w:val="18"/>
              </w:rPr>
            </w:pPr>
            <w:r>
              <w:rPr>
                <w:rFonts w:hint="eastAsia" w:cs="Times New Roman"/>
                <w:sz w:val="18"/>
                <w:szCs w:val="18"/>
              </w:rPr>
              <w:t>数量指标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highlight w:val="none"/>
                <w:lang w:val="en-US" w:eastAsia="zh-CN" w:bidi="ar-SA"/>
              </w:rPr>
            </w:pPr>
            <w:r>
              <w:rPr>
                <w:rFonts w:hint="eastAsia" w:cs="宋体"/>
                <w:kern w:val="0"/>
                <w:sz w:val="18"/>
                <w:szCs w:val="18"/>
                <w:highlight w:val="none"/>
              </w:rPr>
              <w:t>校车数量</w:t>
            </w:r>
          </w:p>
        </w:tc>
        <w:tc>
          <w:tcPr>
            <w:tcW w:w="1079" w:type="dxa"/>
            <w:tcBorders>
              <w:top w:val="nil"/>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≥49辆</w:t>
            </w:r>
          </w:p>
        </w:tc>
        <w:tc>
          <w:tcPr>
            <w:tcW w:w="890" w:type="dxa"/>
            <w:tcBorders>
              <w:top w:val="nil"/>
              <w:left w:val="single" w:color="000000" w:sz="4" w:space="0"/>
              <w:bottom w:val="single" w:color="000000" w:sz="4" w:space="0"/>
              <w:right w:val="single" w:color="000000" w:sz="4" w:space="0"/>
            </w:tcBorders>
            <w:vAlign w:val="center"/>
          </w:tcPr>
          <w:p>
            <w:pPr>
              <w:pStyle w:val="8"/>
              <w:ind w:left="245" w:right="233"/>
              <w:jc w:val="center"/>
              <w:rPr>
                <w:rFonts w:hint="default" w:eastAsia="宋体" w:cs="Times New Roman"/>
                <w:sz w:val="18"/>
                <w:szCs w:val="18"/>
                <w:lang w:val="en-US" w:eastAsia="zh-CN"/>
              </w:rPr>
            </w:pPr>
            <w:r>
              <w:rPr>
                <w:rFonts w:hint="eastAsia" w:cs="Times New Roman"/>
                <w:sz w:val="18"/>
                <w:szCs w:val="18"/>
                <w:lang w:val="en-US" w:eastAsia="zh-CN"/>
              </w:rPr>
              <w:t>49</w:t>
            </w:r>
          </w:p>
        </w:tc>
        <w:tc>
          <w:tcPr>
            <w:tcW w:w="644" w:type="dxa"/>
            <w:gridSpan w:val="2"/>
            <w:tcBorders>
              <w:top w:val="nil"/>
              <w:left w:val="single" w:color="000000" w:sz="4" w:space="0"/>
              <w:bottom w:val="single" w:color="000000" w:sz="4" w:space="0"/>
              <w:right w:val="single" w:color="000000" w:sz="4" w:space="0"/>
            </w:tcBorders>
            <w:vAlign w:val="center"/>
          </w:tcPr>
          <w:p>
            <w:pPr>
              <w:pStyle w:val="8"/>
              <w:spacing w:before="9"/>
              <w:jc w:val="center"/>
              <w:rPr>
                <w:rFonts w:ascii="Times New Roman"/>
                <w:sz w:val="14"/>
                <w:szCs w:val="14"/>
              </w:rPr>
            </w:pPr>
          </w:p>
          <w:p>
            <w:pPr>
              <w:pStyle w:val="8"/>
              <w:ind w:left="213" w:right="201"/>
              <w:jc w:val="center"/>
              <w:rPr>
                <w:rFonts w:cs="Times New Roman"/>
                <w:sz w:val="18"/>
                <w:szCs w:val="18"/>
              </w:rPr>
            </w:pPr>
            <w:r>
              <w:rPr>
                <w:rFonts w:hint="eastAsia" w:cs="Times New Roman"/>
                <w:sz w:val="18"/>
                <w:szCs w:val="18"/>
              </w:rPr>
              <w:t>10</w:t>
            </w:r>
          </w:p>
        </w:tc>
        <w:tc>
          <w:tcPr>
            <w:tcW w:w="749" w:type="dxa"/>
            <w:gridSpan w:val="2"/>
            <w:tcBorders>
              <w:top w:val="nil"/>
              <w:left w:val="single" w:color="000000" w:sz="4" w:space="0"/>
              <w:bottom w:val="single" w:color="000000" w:sz="4" w:space="0"/>
              <w:right w:val="single" w:color="000000" w:sz="4" w:space="0"/>
            </w:tcBorders>
            <w:vAlign w:val="center"/>
          </w:tcPr>
          <w:p>
            <w:pPr>
              <w:pStyle w:val="8"/>
              <w:ind w:left="210" w:right="199"/>
              <w:jc w:val="center"/>
              <w:rPr>
                <w:rFonts w:cs="Times New Roman"/>
                <w:sz w:val="18"/>
                <w:szCs w:val="18"/>
              </w:rPr>
            </w:pPr>
            <w:r>
              <w:rPr>
                <w:rFonts w:hint="eastAsia" w:cs="Times New Roman"/>
                <w:sz w:val="18"/>
                <w:szCs w:val="18"/>
              </w:rPr>
              <w:t>10</w:t>
            </w:r>
            <w:bookmarkStart w:id="0" w:name="_GoBack"/>
            <w:bookmarkEnd w:id="0"/>
          </w:p>
        </w:tc>
        <w:tc>
          <w:tcPr>
            <w:tcW w:w="1243" w:type="dxa"/>
            <w:gridSpan w:val="2"/>
            <w:tcBorders>
              <w:top w:val="nil"/>
              <w:left w:val="single" w:color="000000" w:sz="4" w:space="0"/>
              <w:bottom w:val="single" w:color="000000" w:sz="4" w:space="0"/>
              <w:right w:val="single" w:color="000000" w:sz="4" w:space="0"/>
            </w:tcBorders>
            <w:vAlign w:val="center"/>
          </w:tcPr>
          <w:p>
            <w:pPr>
              <w:pStyle w:val="8"/>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500" w:type="dxa"/>
            <w:tcBorders>
              <w:top w:val="nil"/>
              <w:left w:val="single" w:color="000000" w:sz="4" w:space="0"/>
              <w:bottom w:val="single" w:color="000000" w:sz="4" w:space="0"/>
              <w:right w:val="single" w:color="000000" w:sz="4" w:space="0"/>
            </w:tcBorders>
            <w:vAlign w:val="center"/>
          </w:tcPr>
          <w:p>
            <w:pPr>
              <w:pStyle w:val="8"/>
              <w:spacing w:before="142"/>
              <w:jc w:val="center"/>
              <w:rPr>
                <w:rFonts w:cs="Times New Roman"/>
                <w:sz w:val="18"/>
                <w:szCs w:val="18"/>
              </w:rPr>
            </w:pPr>
            <w:r>
              <w:rPr>
                <w:rFonts w:hint="eastAsia" w:cs="Times New Roman"/>
                <w:sz w:val="18"/>
                <w:szCs w:val="18"/>
              </w:rPr>
              <w:t>质量指标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校车监控覆盖率</w:t>
            </w:r>
          </w:p>
        </w:tc>
        <w:tc>
          <w:tcPr>
            <w:tcW w:w="1079" w:type="dxa"/>
            <w:tcBorders>
              <w:top w:val="nil"/>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100%</w:t>
            </w:r>
          </w:p>
        </w:tc>
        <w:tc>
          <w:tcPr>
            <w:tcW w:w="890" w:type="dxa"/>
            <w:tcBorders>
              <w:top w:val="nil"/>
              <w:left w:val="single" w:color="000000" w:sz="4" w:space="0"/>
              <w:bottom w:val="single" w:color="000000" w:sz="4" w:space="0"/>
              <w:right w:val="single" w:color="000000" w:sz="4" w:space="0"/>
            </w:tcBorders>
            <w:vAlign w:val="center"/>
          </w:tcPr>
          <w:p>
            <w:pPr>
              <w:pStyle w:val="8"/>
              <w:ind w:left="245" w:right="233"/>
              <w:jc w:val="center"/>
              <w:rPr>
                <w:rFonts w:cs="Times New Roman"/>
                <w:sz w:val="18"/>
                <w:szCs w:val="18"/>
              </w:rPr>
            </w:pPr>
            <w:r>
              <w:rPr>
                <w:rFonts w:hint="eastAsia" w:cs="Times New Roman"/>
                <w:sz w:val="18"/>
                <w:szCs w:val="18"/>
              </w:rPr>
              <w:t>100%</w:t>
            </w:r>
          </w:p>
        </w:tc>
        <w:tc>
          <w:tcPr>
            <w:tcW w:w="644" w:type="dxa"/>
            <w:gridSpan w:val="2"/>
            <w:tcBorders>
              <w:top w:val="nil"/>
              <w:left w:val="single" w:color="000000" w:sz="4" w:space="0"/>
              <w:bottom w:val="single" w:color="000000" w:sz="4" w:space="0"/>
              <w:right w:val="single" w:color="000000" w:sz="4" w:space="0"/>
            </w:tcBorders>
            <w:vAlign w:val="center"/>
          </w:tcPr>
          <w:p>
            <w:pPr>
              <w:pStyle w:val="8"/>
              <w:spacing w:before="149"/>
              <w:ind w:left="213" w:right="201"/>
              <w:jc w:val="center"/>
              <w:rPr>
                <w:rFonts w:cs="Times New Roman"/>
                <w:sz w:val="18"/>
                <w:szCs w:val="18"/>
              </w:rPr>
            </w:pPr>
            <w:r>
              <w:rPr>
                <w:rFonts w:hint="eastAsia" w:cs="Times New Roman"/>
                <w:sz w:val="18"/>
                <w:szCs w:val="18"/>
                <w:lang w:val="en-US" w:eastAsia="zh-CN"/>
              </w:rPr>
              <w:t>2</w:t>
            </w:r>
            <w:r>
              <w:rPr>
                <w:rFonts w:hint="eastAsia" w:cs="Times New Roman"/>
                <w:sz w:val="18"/>
                <w:szCs w:val="18"/>
              </w:rPr>
              <w:t>0</w:t>
            </w:r>
          </w:p>
        </w:tc>
        <w:tc>
          <w:tcPr>
            <w:tcW w:w="749" w:type="dxa"/>
            <w:gridSpan w:val="2"/>
            <w:tcBorders>
              <w:top w:val="nil"/>
              <w:left w:val="single" w:color="000000" w:sz="4" w:space="0"/>
              <w:bottom w:val="single" w:color="000000" w:sz="4" w:space="0"/>
              <w:right w:val="single" w:color="000000" w:sz="4" w:space="0"/>
            </w:tcBorders>
            <w:vAlign w:val="center"/>
          </w:tcPr>
          <w:p>
            <w:pPr>
              <w:pStyle w:val="8"/>
              <w:spacing w:before="149"/>
              <w:ind w:left="210" w:right="199"/>
              <w:jc w:val="center"/>
              <w:rPr>
                <w:rFonts w:hint="default" w:eastAsia="宋体" w:cs="Times New Roman"/>
                <w:sz w:val="18"/>
                <w:szCs w:val="18"/>
                <w:lang w:val="en-US" w:eastAsia="zh-CN"/>
              </w:rPr>
            </w:pPr>
            <w:r>
              <w:rPr>
                <w:rFonts w:hint="eastAsia" w:cs="Times New Roman"/>
                <w:sz w:val="18"/>
                <w:szCs w:val="18"/>
                <w:lang w:val="en-US" w:eastAsia="zh-CN"/>
              </w:rPr>
              <w:t>20</w:t>
            </w:r>
          </w:p>
        </w:tc>
        <w:tc>
          <w:tcPr>
            <w:tcW w:w="1243" w:type="dxa"/>
            <w:gridSpan w:val="2"/>
            <w:tcBorders>
              <w:top w:val="nil"/>
              <w:left w:val="single" w:color="000000" w:sz="4" w:space="0"/>
              <w:bottom w:val="single" w:color="000000" w:sz="4" w:space="0"/>
              <w:right w:val="single" w:color="000000" w:sz="4" w:space="0"/>
            </w:tcBorders>
            <w:vAlign w:val="center"/>
          </w:tcPr>
          <w:p>
            <w:pPr>
              <w:pStyle w:val="8"/>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500" w:type="dxa"/>
            <w:vMerge w:val="restart"/>
            <w:tcBorders>
              <w:top w:val="nil"/>
              <w:left w:val="single" w:color="000000" w:sz="4" w:space="0"/>
              <w:bottom w:val="single" w:color="000000" w:sz="4" w:space="0"/>
              <w:right w:val="single" w:color="000000" w:sz="4" w:space="0"/>
            </w:tcBorders>
            <w:vAlign w:val="center"/>
          </w:tcPr>
          <w:p>
            <w:pPr>
              <w:pStyle w:val="8"/>
              <w:jc w:val="center"/>
              <w:rPr>
                <w:rFonts w:cs="Times New Roman"/>
                <w:sz w:val="18"/>
                <w:szCs w:val="18"/>
              </w:rPr>
            </w:pPr>
            <w:r>
              <w:rPr>
                <w:rFonts w:hint="eastAsia" w:cs="Times New Roman"/>
                <w:sz w:val="18"/>
                <w:szCs w:val="18"/>
              </w:rPr>
              <w:t>时效指标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ascii="宋体" w:hAnsi="宋体" w:cs="宋体"/>
                <w:kern w:val="0"/>
                <w:sz w:val="18"/>
                <w:szCs w:val="18"/>
              </w:rPr>
              <w:t>校车购车补贴及运营经费</w:t>
            </w:r>
            <w:r>
              <w:rPr>
                <w:rFonts w:hint="eastAsia" w:ascii="宋体" w:hAnsi="宋体" w:cs="宋体"/>
                <w:kern w:val="0"/>
                <w:sz w:val="18"/>
                <w:szCs w:val="18"/>
              </w:rPr>
              <w:t>发放的及时性</w:t>
            </w:r>
          </w:p>
        </w:tc>
        <w:tc>
          <w:tcPr>
            <w:tcW w:w="1079" w:type="dxa"/>
            <w:tcBorders>
              <w:top w:val="nil"/>
              <w:left w:val="single" w:color="000000" w:sz="4" w:space="0"/>
              <w:bottom w:val="single" w:color="000000" w:sz="4" w:space="0"/>
              <w:right w:val="single" w:color="000000" w:sz="4" w:space="0"/>
            </w:tcBorders>
            <w:vAlign w:val="center"/>
          </w:tcPr>
          <w:p>
            <w:pPr>
              <w:widowControl/>
              <w:spacing w:line="280" w:lineRule="exact"/>
              <w:jc w:val="center"/>
              <w:rPr>
                <w:rFonts w:cs="Times New Roman"/>
                <w:sz w:val="18"/>
                <w:szCs w:val="18"/>
              </w:rPr>
            </w:pPr>
            <w:r>
              <w:rPr>
                <w:rFonts w:hint="eastAsia" w:ascii="宋体" w:hAnsi="宋体" w:cs="宋体"/>
                <w:kern w:val="0"/>
                <w:sz w:val="18"/>
                <w:szCs w:val="18"/>
              </w:rPr>
              <w:t>100%</w:t>
            </w:r>
          </w:p>
        </w:tc>
        <w:tc>
          <w:tcPr>
            <w:tcW w:w="890" w:type="dxa"/>
            <w:tcBorders>
              <w:top w:val="nil"/>
              <w:left w:val="single" w:color="000000" w:sz="4" w:space="0"/>
              <w:bottom w:val="single" w:color="000000" w:sz="4" w:space="0"/>
              <w:right w:val="single" w:color="000000" w:sz="4" w:space="0"/>
            </w:tcBorders>
            <w:vAlign w:val="center"/>
          </w:tcPr>
          <w:p>
            <w:pPr>
              <w:pStyle w:val="8"/>
              <w:ind w:left="245" w:right="233"/>
              <w:jc w:val="center"/>
              <w:rPr>
                <w:rFonts w:cs="Times New Roman"/>
                <w:sz w:val="18"/>
                <w:szCs w:val="18"/>
              </w:rPr>
            </w:pPr>
            <w:r>
              <w:rPr>
                <w:rFonts w:hint="eastAsia" w:cs="Times New Roman"/>
                <w:sz w:val="18"/>
                <w:szCs w:val="18"/>
              </w:rPr>
              <w:t>100%</w:t>
            </w:r>
          </w:p>
        </w:tc>
        <w:tc>
          <w:tcPr>
            <w:tcW w:w="644" w:type="dxa"/>
            <w:gridSpan w:val="2"/>
            <w:tcBorders>
              <w:top w:val="nil"/>
              <w:left w:val="single" w:color="000000" w:sz="4" w:space="0"/>
              <w:bottom w:val="single" w:color="000000" w:sz="4" w:space="0"/>
              <w:right w:val="single" w:color="000000" w:sz="4" w:space="0"/>
            </w:tcBorders>
            <w:vAlign w:val="center"/>
          </w:tcPr>
          <w:p>
            <w:pPr>
              <w:pStyle w:val="8"/>
              <w:spacing w:before="149"/>
              <w:ind w:left="213" w:leftChars="0" w:right="201" w:rightChars="0"/>
              <w:jc w:val="center"/>
              <w:rPr>
                <w:rFonts w:hint="eastAsia" w:eastAsia="宋体" w:cs="Times New Roman"/>
                <w:sz w:val="18"/>
                <w:szCs w:val="18"/>
                <w:lang w:eastAsia="zh-CN"/>
              </w:rPr>
            </w:pPr>
            <w:r>
              <w:rPr>
                <w:rFonts w:hint="eastAsia" w:cs="Times New Roman"/>
                <w:sz w:val="18"/>
                <w:szCs w:val="18"/>
              </w:rPr>
              <w:t>10</w:t>
            </w:r>
          </w:p>
        </w:tc>
        <w:tc>
          <w:tcPr>
            <w:tcW w:w="749" w:type="dxa"/>
            <w:gridSpan w:val="2"/>
            <w:tcBorders>
              <w:top w:val="nil"/>
              <w:left w:val="single" w:color="000000" w:sz="4" w:space="0"/>
              <w:bottom w:val="single" w:color="000000" w:sz="4" w:space="0"/>
              <w:right w:val="single" w:color="000000" w:sz="4" w:space="0"/>
            </w:tcBorders>
            <w:vAlign w:val="center"/>
          </w:tcPr>
          <w:p>
            <w:pPr>
              <w:pStyle w:val="8"/>
              <w:spacing w:before="149"/>
              <w:ind w:left="210" w:leftChars="0" w:right="199" w:rightChars="0"/>
              <w:jc w:val="center"/>
              <w:rPr>
                <w:rFonts w:hint="eastAsia" w:eastAsia="宋体" w:cs="Times New Roman"/>
                <w:sz w:val="18"/>
                <w:szCs w:val="18"/>
                <w:lang w:eastAsia="zh-CN"/>
              </w:rPr>
            </w:pPr>
            <w:r>
              <w:rPr>
                <w:rFonts w:hint="eastAsia" w:cs="Times New Roman"/>
                <w:sz w:val="18"/>
                <w:szCs w:val="18"/>
                <w:lang w:val="en-US" w:eastAsia="zh-CN"/>
              </w:rPr>
              <w:t>10</w:t>
            </w:r>
          </w:p>
        </w:tc>
        <w:tc>
          <w:tcPr>
            <w:tcW w:w="1243" w:type="dxa"/>
            <w:gridSpan w:val="2"/>
            <w:tcBorders>
              <w:top w:val="nil"/>
              <w:left w:val="single" w:color="000000" w:sz="4" w:space="0"/>
              <w:bottom w:val="single" w:color="000000" w:sz="4" w:space="0"/>
              <w:right w:val="single" w:color="000000" w:sz="4" w:space="0"/>
            </w:tcBorders>
            <w:vAlign w:val="center"/>
          </w:tcPr>
          <w:p>
            <w:pPr>
              <w:pStyle w:val="8"/>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50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cs="宋体"/>
                <w:kern w:val="0"/>
                <w:sz w:val="18"/>
                <w:szCs w:val="18"/>
              </w:rPr>
              <w:t>校车接送率</w:t>
            </w:r>
          </w:p>
        </w:tc>
        <w:tc>
          <w:tcPr>
            <w:tcW w:w="1079" w:type="dxa"/>
            <w:tcBorders>
              <w:top w:val="nil"/>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ascii="宋体" w:hAnsi="宋体" w:cs="宋体"/>
                <w:kern w:val="0"/>
                <w:sz w:val="18"/>
                <w:szCs w:val="18"/>
              </w:rPr>
              <w:t>按时</w:t>
            </w:r>
          </w:p>
        </w:tc>
        <w:tc>
          <w:tcPr>
            <w:tcW w:w="890" w:type="dxa"/>
            <w:tcBorders>
              <w:top w:val="nil"/>
              <w:left w:val="single" w:color="000000" w:sz="4" w:space="0"/>
              <w:bottom w:val="single" w:color="000000" w:sz="4" w:space="0"/>
              <w:right w:val="single" w:color="000000" w:sz="4" w:space="0"/>
            </w:tcBorders>
            <w:vAlign w:val="center"/>
          </w:tcPr>
          <w:p>
            <w:pPr>
              <w:widowControl/>
              <w:jc w:val="center"/>
              <w:rPr>
                <w:rFonts w:hint="default" w:ascii="宋体" w:hAnsi="宋体" w:eastAsia="宋体"/>
                <w:sz w:val="18"/>
                <w:szCs w:val="18"/>
                <w:lang w:val="en-US" w:eastAsia="zh-CN"/>
              </w:rPr>
            </w:pPr>
            <w:r>
              <w:rPr>
                <w:rFonts w:hint="eastAsia" w:ascii="宋体" w:hAnsi="宋体"/>
                <w:sz w:val="18"/>
                <w:szCs w:val="18"/>
                <w:lang w:val="en-US" w:eastAsia="zh-CN"/>
              </w:rPr>
              <w:t>准时</w:t>
            </w:r>
          </w:p>
        </w:tc>
        <w:tc>
          <w:tcPr>
            <w:tcW w:w="644" w:type="dxa"/>
            <w:gridSpan w:val="2"/>
            <w:tcBorders>
              <w:top w:val="nil"/>
              <w:left w:val="single" w:color="000000" w:sz="4" w:space="0"/>
              <w:bottom w:val="single" w:color="000000" w:sz="4" w:space="0"/>
              <w:right w:val="single" w:color="000000" w:sz="4" w:space="0"/>
            </w:tcBorders>
            <w:vAlign w:val="center"/>
          </w:tcPr>
          <w:p>
            <w:pPr>
              <w:pStyle w:val="8"/>
              <w:spacing w:before="149"/>
              <w:ind w:left="213" w:leftChars="0" w:right="201" w:rightChars="0"/>
              <w:jc w:val="center"/>
              <w:rPr>
                <w:rFonts w:hint="eastAsia" w:ascii="宋体" w:hAnsi="宋体" w:eastAsia="宋体"/>
                <w:sz w:val="18"/>
                <w:szCs w:val="18"/>
                <w:lang w:val="en-US" w:eastAsia="zh-CN"/>
              </w:rPr>
            </w:pPr>
            <w:r>
              <w:rPr>
                <w:rFonts w:hint="eastAsia" w:cs="Times New Roman"/>
                <w:sz w:val="18"/>
                <w:szCs w:val="18"/>
              </w:rPr>
              <w:t>10</w:t>
            </w:r>
          </w:p>
        </w:tc>
        <w:tc>
          <w:tcPr>
            <w:tcW w:w="749" w:type="dxa"/>
            <w:gridSpan w:val="2"/>
            <w:tcBorders>
              <w:top w:val="nil"/>
              <w:left w:val="single" w:color="000000" w:sz="4" w:space="0"/>
              <w:bottom w:val="single" w:color="000000" w:sz="4" w:space="0"/>
              <w:right w:val="single" w:color="000000" w:sz="4" w:space="0"/>
            </w:tcBorders>
            <w:vAlign w:val="center"/>
          </w:tcPr>
          <w:p>
            <w:pPr>
              <w:pStyle w:val="8"/>
              <w:spacing w:before="149"/>
              <w:ind w:left="210" w:leftChars="0" w:right="199" w:rightChars="0"/>
              <w:jc w:val="center"/>
              <w:rPr>
                <w:rFonts w:hint="eastAsia" w:ascii="宋体" w:hAnsi="宋体" w:eastAsia="宋体"/>
                <w:sz w:val="18"/>
                <w:szCs w:val="18"/>
                <w:lang w:val="en-US" w:eastAsia="zh-CN"/>
              </w:rPr>
            </w:pPr>
            <w:r>
              <w:rPr>
                <w:rFonts w:hint="eastAsia" w:cs="Times New Roman"/>
                <w:sz w:val="18"/>
                <w:szCs w:val="18"/>
                <w:lang w:val="en-US" w:eastAsia="zh-CN"/>
              </w:rPr>
              <w:t>10</w:t>
            </w:r>
          </w:p>
        </w:tc>
        <w:tc>
          <w:tcPr>
            <w:tcW w:w="1243" w:type="dxa"/>
            <w:gridSpan w:val="2"/>
            <w:tcBorders>
              <w:top w:val="nil"/>
              <w:left w:val="single" w:color="000000" w:sz="4" w:space="0"/>
              <w:bottom w:val="single" w:color="000000" w:sz="4" w:space="0"/>
              <w:right w:val="single" w:color="000000" w:sz="4" w:space="0"/>
            </w:tcBorders>
            <w:vAlign w:val="center"/>
          </w:tcPr>
          <w:p>
            <w:pPr>
              <w:widowControl/>
              <w:jc w:val="left"/>
              <w:rPr>
                <w:rFonts w:hAnsi="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500" w:type="dxa"/>
            <w:tcBorders>
              <w:top w:val="nil"/>
              <w:left w:val="single" w:color="000000" w:sz="4" w:space="0"/>
              <w:bottom w:val="single" w:color="000000" w:sz="4" w:space="0"/>
              <w:right w:val="single" w:color="000000" w:sz="4" w:space="0"/>
            </w:tcBorders>
            <w:vAlign w:val="center"/>
          </w:tcPr>
          <w:p>
            <w:pPr>
              <w:pStyle w:val="8"/>
              <w:jc w:val="center"/>
              <w:rPr>
                <w:rFonts w:ascii="Times New Roman"/>
                <w:sz w:val="18"/>
                <w:szCs w:val="18"/>
              </w:rPr>
            </w:pPr>
          </w:p>
          <w:p>
            <w:pPr>
              <w:pStyle w:val="8"/>
              <w:jc w:val="center"/>
              <w:rPr>
                <w:rFonts w:cs="Times New Roman"/>
                <w:sz w:val="18"/>
                <w:szCs w:val="18"/>
              </w:rPr>
            </w:pPr>
            <w:r>
              <w:rPr>
                <w:rFonts w:hint="eastAsia" w:cs="Times New Roman"/>
                <w:sz w:val="18"/>
                <w:szCs w:val="18"/>
              </w:rPr>
              <w:t>成本指标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ascii="宋体" w:hAnsi="宋体" w:cs="宋体"/>
                <w:kern w:val="0"/>
                <w:sz w:val="18"/>
                <w:szCs w:val="18"/>
              </w:rPr>
              <w:t>校车购车补贴及运营经费</w:t>
            </w:r>
          </w:p>
        </w:tc>
        <w:tc>
          <w:tcPr>
            <w:tcW w:w="1079" w:type="dxa"/>
            <w:tcBorders>
              <w:top w:val="nil"/>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w:t>
            </w:r>
            <w:r>
              <w:rPr>
                <w:rFonts w:hint="eastAsia" w:ascii="宋体" w:hAnsi="宋体" w:cs="宋体"/>
                <w:kern w:val="0"/>
                <w:sz w:val="18"/>
                <w:szCs w:val="18"/>
                <w:lang w:eastAsia="zh-CN"/>
              </w:rPr>
              <w:t>250.5</w:t>
            </w:r>
            <w:r>
              <w:rPr>
                <w:rFonts w:hint="eastAsia" w:ascii="宋体" w:hAnsi="宋体" w:cs="宋体"/>
                <w:kern w:val="0"/>
                <w:sz w:val="18"/>
                <w:szCs w:val="18"/>
              </w:rPr>
              <w:t>万元</w:t>
            </w:r>
          </w:p>
        </w:tc>
        <w:tc>
          <w:tcPr>
            <w:tcW w:w="890" w:type="dxa"/>
            <w:tcBorders>
              <w:top w:val="nil"/>
              <w:left w:val="single" w:color="000000" w:sz="4" w:space="0"/>
              <w:bottom w:val="single" w:color="000000" w:sz="4" w:space="0"/>
              <w:right w:val="single" w:color="000000" w:sz="4" w:space="0"/>
            </w:tcBorders>
            <w:vAlign w:val="center"/>
          </w:tcPr>
          <w:p>
            <w:pPr>
              <w:pStyle w:val="8"/>
              <w:spacing w:before="1"/>
              <w:ind w:left="241" w:right="234"/>
              <w:jc w:val="center"/>
              <w:rPr>
                <w:rFonts w:cs="Times New Roman"/>
                <w:sz w:val="18"/>
                <w:szCs w:val="18"/>
              </w:rPr>
            </w:pPr>
            <w:r>
              <w:rPr>
                <w:rFonts w:hint="eastAsia" w:cs="Times New Roman"/>
                <w:sz w:val="18"/>
                <w:szCs w:val="18"/>
                <w:lang w:val="en-US" w:eastAsia="zh-CN"/>
              </w:rPr>
              <w:t>220.155</w:t>
            </w:r>
            <w:r>
              <w:rPr>
                <w:rFonts w:hint="eastAsia" w:cs="Times New Roman"/>
                <w:sz w:val="18"/>
                <w:szCs w:val="18"/>
              </w:rPr>
              <w:t>万元</w:t>
            </w:r>
          </w:p>
        </w:tc>
        <w:tc>
          <w:tcPr>
            <w:tcW w:w="644" w:type="dxa"/>
            <w:gridSpan w:val="2"/>
            <w:tcBorders>
              <w:top w:val="nil"/>
              <w:left w:val="single" w:color="000000" w:sz="4" w:space="0"/>
              <w:bottom w:val="single" w:color="000000" w:sz="4" w:space="0"/>
              <w:right w:val="single" w:color="000000" w:sz="4" w:space="0"/>
            </w:tcBorders>
            <w:vAlign w:val="center"/>
          </w:tcPr>
          <w:p>
            <w:pPr>
              <w:pStyle w:val="8"/>
              <w:spacing w:before="10"/>
              <w:jc w:val="center"/>
              <w:rPr>
                <w:rFonts w:ascii="Times New Roman"/>
                <w:sz w:val="24"/>
                <w:szCs w:val="24"/>
              </w:rPr>
            </w:pPr>
          </w:p>
          <w:p>
            <w:pPr>
              <w:pStyle w:val="8"/>
              <w:spacing w:before="1"/>
              <w:ind w:left="213" w:right="201"/>
              <w:jc w:val="center"/>
              <w:rPr>
                <w:rFonts w:cs="Times New Roman"/>
                <w:sz w:val="18"/>
                <w:szCs w:val="18"/>
              </w:rPr>
            </w:pPr>
            <w:r>
              <w:rPr>
                <w:rFonts w:hint="eastAsia" w:cs="Times New Roman"/>
                <w:sz w:val="18"/>
                <w:szCs w:val="18"/>
                <w:lang w:val="en-US" w:eastAsia="zh-CN"/>
              </w:rPr>
              <w:t>1</w:t>
            </w:r>
            <w:r>
              <w:rPr>
                <w:rFonts w:hint="eastAsia" w:cs="Times New Roman"/>
                <w:sz w:val="18"/>
                <w:szCs w:val="18"/>
              </w:rPr>
              <w:t>0</w:t>
            </w:r>
          </w:p>
        </w:tc>
        <w:tc>
          <w:tcPr>
            <w:tcW w:w="749" w:type="dxa"/>
            <w:gridSpan w:val="2"/>
            <w:tcBorders>
              <w:top w:val="nil"/>
              <w:left w:val="single" w:color="000000" w:sz="4" w:space="0"/>
              <w:bottom w:val="single" w:color="000000" w:sz="4" w:space="0"/>
              <w:right w:val="single" w:color="000000" w:sz="4" w:space="0"/>
            </w:tcBorders>
            <w:vAlign w:val="center"/>
          </w:tcPr>
          <w:p>
            <w:pPr>
              <w:pStyle w:val="8"/>
              <w:spacing w:before="1"/>
              <w:ind w:left="6"/>
              <w:jc w:val="center"/>
              <w:rPr>
                <w:rFonts w:hint="default" w:cs="Times New Roman"/>
                <w:sz w:val="18"/>
                <w:szCs w:val="18"/>
                <w:lang w:val="en-US"/>
              </w:rPr>
            </w:pPr>
            <w:r>
              <w:rPr>
                <w:rFonts w:hint="eastAsia" w:cs="Times New Roman"/>
                <w:sz w:val="18"/>
                <w:szCs w:val="18"/>
                <w:lang w:val="en-US" w:eastAsia="zh-CN"/>
              </w:rPr>
              <w:t>8.8</w:t>
            </w:r>
          </w:p>
        </w:tc>
        <w:tc>
          <w:tcPr>
            <w:tcW w:w="1243" w:type="dxa"/>
            <w:gridSpan w:val="2"/>
            <w:tcBorders>
              <w:top w:val="nil"/>
              <w:left w:val="single" w:color="000000" w:sz="4" w:space="0"/>
              <w:bottom w:val="single" w:color="000000" w:sz="4" w:space="0"/>
              <w:right w:val="single" w:color="000000" w:sz="4" w:space="0"/>
            </w:tcBorders>
            <w:vAlign w:val="center"/>
          </w:tcPr>
          <w:p>
            <w:pPr>
              <w:pStyle w:val="8"/>
              <w:spacing w:before="4" w:line="240" w:lineRule="atLeast"/>
              <w:ind w:left="107" w:right="95"/>
              <w:jc w:val="center"/>
              <w:rPr>
                <w:rFonts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restart"/>
            <w:tcBorders>
              <w:top w:val="nil"/>
              <w:left w:val="single" w:color="000000" w:sz="4" w:space="0"/>
              <w:bottom w:val="single" w:color="000000" w:sz="4" w:space="0"/>
              <w:right w:val="single" w:color="000000" w:sz="4" w:space="0"/>
            </w:tcBorders>
            <w:vAlign w:val="center"/>
          </w:tcPr>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jc w:val="center"/>
              <w:rPr>
                <w:rFonts w:ascii="Times New Roman"/>
                <w:sz w:val="18"/>
                <w:szCs w:val="18"/>
              </w:rPr>
            </w:pPr>
          </w:p>
          <w:p>
            <w:pPr>
              <w:pStyle w:val="8"/>
              <w:spacing w:line="324" w:lineRule="auto"/>
              <w:ind w:right="159"/>
              <w:jc w:val="center"/>
              <w:rPr>
                <w:rFonts w:cs="Times New Roman"/>
                <w:sz w:val="18"/>
                <w:szCs w:val="18"/>
              </w:rPr>
            </w:pPr>
            <w:r>
              <w:rPr>
                <w:rFonts w:hint="eastAsia" w:cs="Times New Roman"/>
                <w:sz w:val="18"/>
                <w:szCs w:val="18"/>
              </w:rPr>
              <w:t>效益指标</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8"/>
              <w:spacing w:before="9"/>
              <w:jc w:val="center"/>
              <w:rPr>
                <w:rFonts w:ascii="Times New Roman"/>
                <w:sz w:val="20"/>
                <w:szCs w:val="20"/>
              </w:rPr>
            </w:pPr>
          </w:p>
          <w:p>
            <w:pPr>
              <w:pStyle w:val="8"/>
              <w:spacing w:before="1"/>
              <w:ind w:left="216"/>
              <w:jc w:val="center"/>
              <w:rPr>
                <w:rFonts w:cs="Times New Roman"/>
                <w:sz w:val="18"/>
                <w:szCs w:val="18"/>
              </w:rPr>
            </w:pPr>
            <w:r>
              <w:rPr>
                <w:rFonts w:hint="eastAsia" w:cs="Times New Roman"/>
                <w:sz w:val="18"/>
                <w:szCs w:val="18"/>
              </w:rPr>
              <w:t>经济效益指标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不适用</w:t>
            </w:r>
          </w:p>
        </w:tc>
        <w:tc>
          <w:tcPr>
            <w:tcW w:w="107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不适用</w:t>
            </w:r>
          </w:p>
        </w:tc>
        <w:tc>
          <w:tcPr>
            <w:tcW w:w="890" w:type="dxa"/>
            <w:tcBorders>
              <w:top w:val="single" w:color="000000" w:sz="4" w:space="0"/>
              <w:left w:val="single" w:color="000000" w:sz="4" w:space="0"/>
              <w:bottom w:val="single" w:color="000000" w:sz="4" w:space="0"/>
              <w:right w:val="single" w:color="000000" w:sz="4" w:space="0"/>
            </w:tcBorders>
            <w:vAlign w:val="center"/>
          </w:tcPr>
          <w:p>
            <w:pPr>
              <w:pStyle w:val="8"/>
              <w:ind w:left="245" w:right="233"/>
              <w:jc w:val="center"/>
              <w:rPr>
                <w:rFonts w:cs="Times New Roman"/>
                <w:sz w:val="18"/>
                <w:szCs w:val="18"/>
              </w:rPr>
            </w:pPr>
          </w:p>
        </w:tc>
        <w:tc>
          <w:tcPr>
            <w:tcW w:w="64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5"/>
              <w:jc w:val="center"/>
              <w:rPr>
                <w:rFonts w:ascii="Times New Roman"/>
              </w:rPr>
            </w:pPr>
          </w:p>
          <w:p>
            <w:pPr>
              <w:pStyle w:val="8"/>
              <w:ind w:left="213" w:right="201"/>
              <w:jc w:val="center"/>
              <w:rPr>
                <w:rFonts w:cs="Times New Roman"/>
                <w:sz w:val="18"/>
                <w:szCs w:val="18"/>
              </w:rPr>
            </w:pPr>
            <w:r>
              <w:rPr>
                <w:rFonts w:hint="eastAsia" w:cs="Times New Roman"/>
                <w:sz w:val="18"/>
                <w:szCs w:val="18"/>
              </w:rPr>
              <w:t>0</w:t>
            </w:r>
          </w:p>
        </w:tc>
        <w:tc>
          <w:tcPr>
            <w:tcW w:w="749" w:type="dxa"/>
            <w:gridSpan w:val="2"/>
            <w:tcBorders>
              <w:top w:val="single" w:color="000000" w:sz="4" w:space="0"/>
              <w:left w:val="single" w:color="000000" w:sz="4" w:space="0"/>
              <w:bottom w:val="single" w:color="000000" w:sz="4" w:space="0"/>
              <w:right w:val="single" w:color="000000" w:sz="4" w:space="0"/>
            </w:tcBorders>
            <w:vAlign w:val="center"/>
          </w:tcPr>
          <w:p>
            <w:pPr>
              <w:pStyle w:val="8"/>
              <w:ind w:left="210" w:right="199"/>
              <w:jc w:val="center"/>
              <w:rPr>
                <w:rFonts w:cs="Times New Roman"/>
                <w:sz w:val="18"/>
                <w:szCs w:val="18"/>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18"/>
                <w:szCs w:val="18"/>
              </w:rPr>
            </w:pPr>
            <w:r>
              <w:rPr>
                <w:rFonts w:hint="eastAsia" w:ascii="宋体" w:hAnsi="宋体" w:cs="宋体"/>
                <w:kern w:val="0"/>
                <w:sz w:val="18"/>
                <w:szCs w:val="18"/>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8"/>
              <w:spacing w:before="7"/>
              <w:jc w:val="center"/>
              <w:rPr>
                <w:rFonts w:ascii="Times New Roman"/>
                <w:sz w:val="20"/>
                <w:szCs w:val="20"/>
              </w:rPr>
            </w:pPr>
          </w:p>
          <w:p>
            <w:pPr>
              <w:pStyle w:val="8"/>
              <w:spacing w:before="1"/>
              <w:ind w:left="216"/>
              <w:jc w:val="center"/>
              <w:rPr>
                <w:rFonts w:cs="Times New Roman"/>
                <w:sz w:val="18"/>
                <w:szCs w:val="18"/>
              </w:rPr>
            </w:pPr>
            <w:r>
              <w:rPr>
                <w:rFonts w:hint="eastAsia" w:cs="Times New Roman"/>
                <w:sz w:val="18"/>
                <w:szCs w:val="18"/>
              </w:rPr>
              <w:t>社会效益指标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基本解决乡镇</w:t>
            </w:r>
            <w:r>
              <w:rPr>
                <w:rFonts w:ascii="宋体" w:hAnsi="宋体" w:cs="宋体"/>
                <w:kern w:val="0"/>
                <w:sz w:val="18"/>
                <w:szCs w:val="18"/>
              </w:rPr>
              <w:t>中小学生和幼儿</w:t>
            </w:r>
            <w:r>
              <w:rPr>
                <w:rFonts w:hint="eastAsia" w:cs="宋体"/>
                <w:kern w:val="0"/>
                <w:sz w:val="18"/>
                <w:szCs w:val="18"/>
              </w:rPr>
              <w:t>，确保校车安全</w:t>
            </w:r>
          </w:p>
        </w:tc>
        <w:tc>
          <w:tcPr>
            <w:tcW w:w="107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100%</w:t>
            </w:r>
          </w:p>
        </w:tc>
        <w:tc>
          <w:tcPr>
            <w:tcW w:w="890" w:type="dxa"/>
            <w:tcBorders>
              <w:top w:val="single" w:color="000000" w:sz="4" w:space="0"/>
              <w:left w:val="single" w:color="000000" w:sz="4" w:space="0"/>
              <w:bottom w:val="single" w:color="000000" w:sz="4" w:space="0"/>
              <w:right w:val="single" w:color="000000" w:sz="4" w:space="0"/>
            </w:tcBorders>
            <w:vAlign w:val="center"/>
          </w:tcPr>
          <w:p>
            <w:pPr>
              <w:pStyle w:val="8"/>
              <w:ind w:left="245" w:right="234"/>
              <w:jc w:val="center"/>
              <w:rPr>
                <w:rFonts w:hint="default" w:eastAsia="宋体" w:cs="Times New Roman"/>
                <w:sz w:val="18"/>
                <w:szCs w:val="18"/>
                <w:lang w:val="en-US" w:eastAsia="zh-CN"/>
              </w:rPr>
            </w:pPr>
            <w:r>
              <w:rPr>
                <w:rFonts w:hint="eastAsia" w:cs="Times New Roman"/>
                <w:sz w:val="18"/>
                <w:szCs w:val="18"/>
                <w:lang w:val="en-US" w:eastAsia="zh-CN"/>
              </w:rPr>
              <w:t>100%</w:t>
            </w:r>
          </w:p>
        </w:tc>
        <w:tc>
          <w:tcPr>
            <w:tcW w:w="64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3"/>
              <w:jc w:val="center"/>
              <w:rPr>
                <w:rFonts w:ascii="Times New Roman"/>
              </w:rPr>
            </w:pPr>
          </w:p>
          <w:p>
            <w:pPr>
              <w:pStyle w:val="8"/>
              <w:ind w:left="213" w:right="201"/>
              <w:jc w:val="center"/>
              <w:rPr>
                <w:rFonts w:cs="Times New Roman"/>
                <w:sz w:val="18"/>
                <w:szCs w:val="18"/>
              </w:rPr>
            </w:pPr>
            <w:r>
              <w:rPr>
                <w:rFonts w:hint="eastAsia" w:cs="Times New Roman"/>
                <w:sz w:val="18"/>
                <w:szCs w:val="18"/>
              </w:rPr>
              <w:t>10</w:t>
            </w:r>
          </w:p>
        </w:tc>
        <w:tc>
          <w:tcPr>
            <w:tcW w:w="749" w:type="dxa"/>
            <w:gridSpan w:val="2"/>
            <w:tcBorders>
              <w:top w:val="single" w:color="000000" w:sz="4" w:space="0"/>
              <w:left w:val="single" w:color="000000" w:sz="4" w:space="0"/>
              <w:bottom w:val="single" w:color="000000" w:sz="4" w:space="0"/>
              <w:right w:val="single" w:color="000000" w:sz="4" w:space="0"/>
            </w:tcBorders>
            <w:vAlign w:val="center"/>
          </w:tcPr>
          <w:p>
            <w:pPr>
              <w:pStyle w:val="8"/>
              <w:ind w:left="210" w:right="199"/>
              <w:jc w:val="center"/>
              <w:rPr>
                <w:rFonts w:cs="Times New Roman"/>
                <w:sz w:val="18"/>
                <w:szCs w:val="18"/>
              </w:rPr>
            </w:pPr>
            <w:r>
              <w:rPr>
                <w:rFonts w:hint="eastAsia" w:cs="Times New Roman"/>
                <w:sz w:val="18"/>
                <w:szCs w:val="18"/>
              </w:rPr>
              <w:t>10</w:t>
            </w: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8"/>
              <w:spacing w:before="155"/>
              <w:ind w:left="216"/>
              <w:jc w:val="center"/>
              <w:rPr>
                <w:rFonts w:cs="Times New Roman"/>
                <w:sz w:val="18"/>
                <w:szCs w:val="18"/>
              </w:rPr>
            </w:pPr>
            <w:r>
              <w:rPr>
                <w:rFonts w:hint="eastAsia" w:cs="Times New Roman"/>
                <w:sz w:val="18"/>
                <w:szCs w:val="18"/>
              </w:rPr>
              <w:t>环境效益指标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不适用</w:t>
            </w:r>
          </w:p>
        </w:tc>
        <w:tc>
          <w:tcPr>
            <w:tcW w:w="107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不适用</w:t>
            </w:r>
          </w:p>
        </w:tc>
        <w:tc>
          <w:tcPr>
            <w:tcW w:w="890" w:type="dxa"/>
            <w:tcBorders>
              <w:top w:val="single" w:color="000000" w:sz="4" w:space="0"/>
              <w:left w:val="single" w:color="000000" w:sz="4" w:space="0"/>
              <w:bottom w:val="single" w:color="000000" w:sz="4" w:space="0"/>
              <w:right w:val="single" w:color="000000" w:sz="4" w:space="0"/>
            </w:tcBorders>
            <w:vAlign w:val="center"/>
          </w:tcPr>
          <w:p>
            <w:pPr>
              <w:pStyle w:val="8"/>
              <w:ind w:left="245" w:right="233"/>
              <w:jc w:val="center"/>
              <w:rPr>
                <w:rFonts w:cs="Times New Roman"/>
                <w:sz w:val="18"/>
                <w:szCs w:val="18"/>
              </w:rPr>
            </w:pPr>
          </w:p>
        </w:tc>
        <w:tc>
          <w:tcPr>
            <w:tcW w:w="64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1"/>
              <w:jc w:val="center"/>
              <w:rPr>
                <w:rFonts w:ascii="Times New Roman"/>
                <w:sz w:val="14"/>
                <w:szCs w:val="14"/>
              </w:rPr>
            </w:pPr>
          </w:p>
          <w:p>
            <w:pPr>
              <w:pStyle w:val="8"/>
              <w:ind w:left="213" w:right="201"/>
              <w:jc w:val="center"/>
              <w:rPr>
                <w:rFonts w:cs="Times New Roman"/>
                <w:sz w:val="18"/>
                <w:szCs w:val="18"/>
              </w:rPr>
            </w:pPr>
            <w:r>
              <w:rPr>
                <w:rFonts w:hint="eastAsia" w:cs="Times New Roman"/>
                <w:sz w:val="18"/>
                <w:szCs w:val="18"/>
              </w:rPr>
              <w:t>0</w:t>
            </w:r>
          </w:p>
        </w:tc>
        <w:tc>
          <w:tcPr>
            <w:tcW w:w="749" w:type="dxa"/>
            <w:gridSpan w:val="2"/>
            <w:tcBorders>
              <w:top w:val="single" w:color="000000" w:sz="4" w:space="0"/>
              <w:left w:val="single" w:color="000000" w:sz="4" w:space="0"/>
              <w:bottom w:val="single" w:color="000000" w:sz="4" w:space="0"/>
              <w:right w:val="single" w:color="000000" w:sz="4" w:space="0"/>
            </w:tcBorders>
            <w:vAlign w:val="center"/>
          </w:tcPr>
          <w:p>
            <w:pPr>
              <w:pStyle w:val="8"/>
              <w:ind w:left="210" w:right="199"/>
              <w:jc w:val="center"/>
              <w:rPr>
                <w:rFonts w:cs="Times New Roman"/>
                <w:sz w:val="18"/>
                <w:szCs w:val="18"/>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18"/>
                <w:szCs w:val="18"/>
              </w:rPr>
            </w:pPr>
            <w:r>
              <w:rPr>
                <w:rFonts w:hint="eastAsia" w:ascii="宋体" w:hAnsi="宋体" w:cs="宋体"/>
                <w:kern w:val="0"/>
                <w:sz w:val="18"/>
                <w:szCs w:val="18"/>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8"/>
              <w:spacing w:before="1"/>
              <w:jc w:val="center"/>
              <w:rPr>
                <w:rFonts w:ascii="Times New Roman"/>
                <w:sz w:val="22"/>
              </w:rPr>
            </w:pPr>
          </w:p>
          <w:p>
            <w:pPr>
              <w:pStyle w:val="8"/>
              <w:ind w:left="128"/>
              <w:jc w:val="center"/>
              <w:rPr>
                <w:rFonts w:cs="Times New Roman"/>
                <w:sz w:val="18"/>
                <w:szCs w:val="18"/>
              </w:rPr>
            </w:pPr>
            <w:r>
              <w:rPr>
                <w:rFonts w:hint="eastAsia" w:cs="Times New Roman"/>
                <w:sz w:val="18"/>
                <w:szCs w:val="18"/>
              </w:rPr>
              <w:t>可持续影响指标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cs="宋体"/>
                <w:kern w:val="0"/>
                <w:sz w:val="18"/>
                <w:szCs w:val="18"/>
              </w:rPr>
              <w:t>渡劫违法行为，确保校车安全</w:t>
            </w:r>
          </w:p>
        </w:tc>
        <w:tc>
          <w:tcPr>
            <w:tcW w:w="107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100%</w:t>
            </w:r>
          </w:p>
        </w:tc>
        <w:tc>
          <w:tcPr>
            <w:tcW w:w="890" w:type="dxa"/>
            <w:tcBorders>
              <w:top w:val="single" w:color="000000" w:sz="4" w:space="0"/>
              <w:left w:val="single" w:color="000000" w:sz="4" w:space="0"/>
              <w:bottom w:val="single" w:color="000000" w:sz="4" w:space="0"/>
              <w:right w:val="single" w:color="000000" w:sz="4" w:space="0"/>
            </w:tcBorders>
            <w:vAlign w:val="center"/>
          </w:tcPr>
          <w:p>
            <w:pPr>
              <w:pStyle w:val="8"/>
              <w:ind w:left="245" w:right="233"/>
              <w:jc w:val="center"/>
              <w:rPr>
                <w:rFonts w:hint="default" w:eastAsia="宋体" w:cs="Times New Roman"/>
                <w:sz w:val="18"/>
                <w:szCs w:val="18"/>
                <w:lang w:val="en-US" w:eastAsia="zh-CN"/>
              </w:rPr>
            </w:pPr>
            <w:r>
              <w:rPr>
                <w:rFonts w:hint="eastAsia" w:cs="Times New Roman"/>
                <w:sz w:val="18"/>
                <w:szCs w:val="18"/>
                <w:lang w:val="en-US" w:eastAsia="zh-CN"/>
              </w:rPr>
              <w:t>100%</w:t>
            </w:r>
          </w:p>
        </w:tc>
        <w:tc>
          <w:tcPr>
            <w:tcW w:w="64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8"/>
              <w:jc w:val="center"/>
              <w:rPr>
                <w:rFonts w:ascii="Times New Roman"/>
                <w:sz w:val="22"/>
              </w:rPr>
            </w:pPr>
          </w:p>
          <w:p>
            <w:pPr>
              <w:pStyle w:val="8"/>
              <w:ind w:left="213" w:right="201"/>
              <w:jc w:val="center"/>
              <w:rPr>
                <w:rFonts w:cs="Times New Roman"/>
                <w:sz w:val="18"/>
                <w:szCs w:val="18"/>
              </w:rPr>
            </w:pPr>
            <w:r>
              <w:rPr>
                <w:rFonts w:hint="eastAsia" w:cs="Times New Roman"/>
                <w:sz w:val="18"/>
                <w:szCs w:val="18"/>
              </w:rPr>
              <w:t>10</w:t>
            </w:r>
          </w:p>
        </w:tc>
        <w:tc>
          <w:tcPr>
            <w:tcW w:w="749" w:type="dxa"/>
            <w:gridSpan w:val="2"/>
            <w:tcBorders>
              <w:top w:val="single" w:color="000000" w:sz="4" w:space="0"/>
              <w:left w:val="single" w:color="000000" w:sz="4" w:space="0"/>
              <w:bottom w:val="single" w:color="000000" w:sz="4" w:space="0"/>
              <w:right w:val="single" w:color="000000" w:sz="4" w:space="0"/>
            </w:tcBorders>
            <w:vAlign w:val="center"/>
          </w:tcPr>
          <w:p>
            <w:pPr>
              <w:pStyle w:val="8"/>
              <w:ind w:left="210" w:right="199"/>
              <w:jc w:val="center"/>
              <w:rPr>
                <w:rFonts w:cs="Times New Roman"/>
                <w:sz w:val="18"/>
                <w:szCs w:val="18"/>
              </w:rPr>
            </w:pPr>
            <w:r>
              <w:rPr>
                <w:rFonts w:hint="eastAsia" w:cs="Times New Roman"/>
                <w:sz w:val="18"/>
                <w:szCs w:val="18"/>
              </w:rPr>
              <w:t>10</w:t>
            </w: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jc w:val="center"/>
        </w:trPr>
        <w:tc>
          <w:tcPr>
            <w:tcW w:w="50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sz w:val="18"/>
                <w:szCs w:val="18"/>
              </w:rPr>
            </w:pPr>
          </w:p>
        </w:tc>
        <w:tc>
          <w:tcPr>
            <w:tcW w:w="1060"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145" w:line="278" w:lineRule="auto"/>
              <w:ind w:left="259" w:right="159" w:hanging="89"/>
              <w:jc w:val="center"/>
              <w:rPr>
                <w:rFonts w:cs="Times New Roman"/>
                <w:sz w:val="18"/>
                <w:szCs w:val="18"/>
              </w:rPr>
            </w:pPr>
            <w:r>
              <w:rPr>
                <w:rFonts w:hint="eastAsia" w:cs="Times New Roman"/>
                <w:sz w:val="18"/>
                <w:szCs w:val="18"/>
              </w:rPr>
              <w:t>满意度指标</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8"/>
              <w:spacing w:before="138" w:line="324" w:lineRule="auto"/>
              <w:ind w:right="115"/>
              <w:jc w:val="center"/>
              <w:rPr>
                <w:rFonts w:cs="Times New Roman"/>
                <w:sz w:val="18"/>
                <w:szCs w:val="18"/>
              </w:rPr>
            </w:pPr>
            <w:r>
              <w:rPr>
                <w:rFonts w:hint="eastAsia" w:cs="Times New Roman"/>
                <w:sz w:val="18"/>
                <w:szCs w:val="18"/>
              </w:rPr>
              <w:t>服务对象满意度指标</w:t>
            </w:r>
          </w:p>
        </w:tc>
        <w:tc>
          <w:tcPr>
            <w:tcW w:w="228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cs="宋体"/>
                <w:kern w:val="0"/>
                <w:sz w:val="18"/>
                <w:szCs w:val="18"/>
              </w:rPr>
              <w:t>学生满意度</w:t>
            </w:r>
          </w:p>
        </w:tc>
        <w:tc>
          <w:tcPr>
            <w:tcW w:w="1079"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≥90%</w:t>
            </w:r>
          </w:p>
        </w:tc>
        <w:tc>
          <w:tcPr>
            <w:tcW w:w="890" w:type="dxa"/>
            <w:tcBorders>
              <w:top w:val="single" w:color="000000" w:sz="4" w:space="0"/>
              <w:left w:val="single" w:color="000000" w:sz="4" w:space="0"/>
              <w:bottom w:val="single" w:color="000000" w:sz="4" w:space="0"/>
              <w:right w:val="single" w:color="000000" w:sz="4" w:space="0"/>
            </w:tcBorders>
            <w:vAlign w:val="center"/>
          </w:tcPr>
          <w:p>
            <w:pPr>
              <w:pStyle w:val="8"/>
              <w:ind w:left="245" w:right="234"/>
              <w:jc w:val="center"/>
              <w:rPr>
                <w:rFonts w:hint="default" w:eastAsia="宋体" w:cs="Times New Roman"/>
                <w:sz w:val="18"/>
                <w:szCs w:val="18"/>
                <w:lang w:val="en-US" w:eastAsia="zh-CN"/>
              </w:rPr>
            </w:pPr>
            <w:r>
              <w:rPr>
                <w:rFonts w:hint="eastAsia" w:cs="Times New Roman"/>
                <w:sz w:val="18"/>
                <w:szCs w:val="18"/>
                <w:lang w:val="en-US" w:eastAsia="zh-CN"/>
              </w:rPr>
              <w:t>90%</w:t>
            </w:r>
          </w:p>
        </w:tc>
        <w:tc>
          <w:tcPr>
            <w:tcW w:w="644" w:type="dxa"/>
            <w:gridSpan w:val="2"/>
            <w:tcBorders>
              <w:top w:val="single" w:color="000000" w:sz="4" w:space="0"/>
              <w:left w:val="single" w:color="000000" w:sz="4" w:space="0"/>
              <w:bottom w:val="single" w:color="000000" w:sz="4" w:space="0"/>
              <w:right w:val="single" w:color="000000" w:sz="4" w:space="0"/>
            </w:tcBorders>
            <w:vAlign w:val="center"/>
          </w:tcPr>
          <w:p>
            <w:pPr>
              <w:pStyle w:val="8"/>
              <w:spacing w:before="2"/>
              <w:jc w:val="center"/>
              <w:rPr>
                <w:rFonts w:ascii="Times New Roman"/>
                <w:sz w:val="26"/>
                <w:szCs w:val="26"/>
              </w:rPr>
            </w:pPr>
          </w:p>
          <w:p>
            <w:pPr>
              <w:pStyle w:val="8"/>
              <w:ind w:left="213" w:right="201"/>
              <w:jc w:val="center"/>
              <w:rPr>
                <w:rFonts w:cs="Times New Roman"/>
                <w:sz w:val="18"/>
                <w:szCs w:val="18"/>
              </w:rPr>
            </w:pPr>
            <w:r>
              <w:rPr>
                <w:rFonts w:hint="eastAsia" w:cs="Times New Roman"/>
                <w:sz w:val="18"/>
                <w:szCs w:val="18"/>
              </w:rPr>
              <w:t>10</w:t>
            </w:r>
          </w:p>
        </w:tc>
        <w:tc>
          <w:tcPr>
            <w:tcW w:w="749" w:type="dxa"/>
            <w:gridSpan w:val="2"/>
            <w:tcBorders>
              <w:top w:val="single" w:color="000000" w:sz="4" w:space="0"/>
              <w:left w:val="single" w:color="000000" w:sz="4" w:space="0"/>
              <w:bottom w:val="single" w:color="000000" w:sz="4" w:space="0"/>
              <w:right w:val="single" w:color="000000" w:sz="4" w:space="0"/>
            </w:tcBorders>
            <w:vAlign w:val="center"/>
          </w:tcPr>
          <w:p>
            <w:pPr>
              <w:pStyle w:val="8"/>
              <w:ind w:left="210" w:right="199"/>
              <w:jc w:val="center"/>
              <w:rPr>
                <w:rFonts w:cs="Times New Roman"/>
                <w:sz w:val="18"/>
                <w:szCs w:val="18"/>
              </w:rPr>
            </w:pPr>
            <w:r>
              <w:rPr>
                <w:rFonts w:hint="eastAsia" w:cs="Times New Roman"/>
                <w:sz w:val="18"/>
                <w:szCs w:val="18"/>
              </w:rPr>
              <w:t>10</w:t>
            </w: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jc w:val="center"/>
        </w:trPr>
        <w:tc>
          <w:tcPr>
            <w:tcW w:w="7321" w:type="dxa"/>
            <w:gridSpan w:val="9"/>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26"/>
                <w:szCs w:val="26"/>
              </w:rPr>
            </w:pPr>
          </w:p>
          <w:p>
            <w:pPr>
              <w:pStyle w:val="8"/>
              <w:jc w:val="center"/>
              <w:rPr>
                <w:rFonts w:ascii="Times New Roman"/>
                <w:sz w:val="26"/>
                <w:szCs w:val="26"/>
              </w:rPr>
            </w:pPr>
          </w:p>
          <w:p>
            <w:pPr>
              <w:pStyle w:val="8"/>
              <w:ind w:left="3460" w:right="3450"/>
              <w:jc w:val="center"/>
              <w:rPr>
                <w:rFonts w:cs="Times New Roman"/>
                <w:sz w:val="18"/>
                <w:szCs w:val="18"/>
              </w:rPr>
            </w:pPr>
            <w:r>
              <w:rPr>
                <w:rFonts w:hint="eastAsia" w:cs="Times New Roman"/>
                <w:sz w:val="18"/>
                <w:szCs w:val="18"/>
              </w:rPr>
              <w:t>总分</w:t>
            </w:r>
          </w:p>
        </w:tc>
        <w:tc>
          <w:tcPr>
            <w:tcW w:w="644" w:type="dxa"/>
            <w:gridSpan w:val="2"/>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18"/>
                <w:szCs w:val="18"/>
              </w:rPr>
            </w:pPr>
          </w:p>
          <w:p>
            <w:pPr>
              <w:pStyle w:val="8"/>
              <w:jc w:val="center"/>
              <w:rPr>
                <w:rFonts w:ascii="Times New Roman"/>
                <w:sz w:val="26"/>
                <w:szCs w:val="26"/>
              </w:rPr>
            </w:pPr>
          </w:p>
          <w:p>
            <w:pPr>
              <w:pStyle w:val="8"/>
              <w:ind w:left="186"/>
              <w:jc w:val="center"/>
              <w:rPr>
                <w:rFonts w:cs="Times New Roman"/>
                <w:sz w:val="18"/>
                <w:szCs w:val="18"/>
              </w:rPr>
            </w:pPr>
            <w:r>
              <w:rPr>
                <w:rFonts w:hint="eastAsia" w:cs="Times New Roman"/>
                <w:sz w:val="18"/>
                <w:szCs w:val="18"/>
              </w:rPr>
              <w:t>100</w:t>
            </w:r>
          </w:p>
        </w:tc>
        <w:tc>
          <w:tcPr>
            <w:tcW w:w="749" w:type="dxa"/>
            <w:gridSpan w:val="2"/>
            <w:tcBorders>
              <w:top w:val="single" w:color="000000" w:sz="4" w:space="0"/>
              <w:left w:val="single" w:color="000000" w:sz="4" w:space="0"/>
              <w:bottom w:val="single" w:color="000000" w:sz="4" w:space="0"/>
              <w:right w:val="single" w:color="000000" w:sz="4" w:space="0"/>
            </w:tcBorders>
            <w:vAlign w:val="center"/>
          </w:tcPr>
          <w:p>
            <w:pPr>
              <w:pStyle w:val="8"/>
              <w:ind w:left="210" w:right="199"/>
              <w:jc w:val="center"/>
              <w:rPr>
                <w:rFonts w:hint="default" w:eastAsia="宋体" w:cs="Times New Roman"/>
                <w:sz w:val="18"/>
                <w:szCs w:val="18"/>
                <w:lang w:val="en-US" w:eastAsia="zh-CN"/>
              </w:rPr>
            </w:pPr>
            <w:r>
              <w:rPr>
                <w:rFonts w:hint="eastAsia" w:cs="Times New Roman"/>
                <w:sz w:val="16"/>
                <w:szCs w:val="16"/>
                <w:lang w:val="en-US" w:eastAsia="zh-CN"/>
              </w:rPr>
              <w:t>97.6</w:t>
            </w: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pStyle w:val="8"/>
              <w:jc w:val="center"/>
              <w:rPr>
                <w:rFonts w:ascii="Times New Roman"/>
                <w:sz w:val="18"/>
                <w:szCs w:val="18"/>
              </w:rPr>
            </w:pPr>
          </w:p>
        </w:tc>
      </w:tr>
    </w:tbl>
    <w:p>
      <w:pPr>
        <w:spacing w:line="600" w:lineRule="exact"/>
        <w:rPr>
          <w:rFonts w:eastAsia="仿宋_GB2312"/>
          <w:sz w:val="32"/>
          <w:szCs w:val="32"/>
        </w:rPr>
        <w:sectPr>
          <w:pgSz w:w="12240" w:h="15840"/>
          <w:pgMar w:top="1440" w:right="1304" w:bottom="1440" w:left="1304" w:header="720" w:footer="720" w:gutter="0"/>
          <w:cols w:space="720" w:num="1"/>
        </w:sectPr>
      </w:pPr>
    </w:p>
    <w:p>
      <w:pPr>
        <w:spacing w:line="600"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小标宋">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Y2NmY5YTE4ZjA5YmIzYzEzNDI0MmEzZWFlMGVjMjYifQ=="/>
  </w:docVars>
  <w:rsids>
    <w:rsidRoot w:val="00DC218F"/>
    <w:rsid w:val="003F4840"/>
    <w:rsid w:val="005D369A"/>
    <w:rsid w:val="00865C8D"/>
    <w:rsid w:val="00B53F67"/>
    <w:rsid w:val="00DC218F"/>
    <w:rsid w:val="07AC63BF"/>
    <w:rsid w:val="40A306B2"/>
    <w:rsid w:val="48C218A2"/>
    <w:rsid w:val="506B2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Calibri" w:hAnsi="Calibri" w:eastAsia="宋体" w:cs="Times New Roman"/>
      <w:kern w:val="2"/>
      <w:sz w:val="18"/>
      <w:szCs w:val="18"/>
    </w:rPr>
  </w:style>
  <w:style w:type="character" w:customStyle="1" w:styleId="7">
    <w:name w:val="页脚 Char"/>
    <w:basedOn w:val="5"/>
    <w:link w:val="2"/>
    <w:semiHidden/>
    <w:uiPriority w:val="99"/>
    <w:rPr>
      <w:rFonts w:ascii="Calibri" w:hAnsi="Calibri" w:eastAsia="宋体" w:cs="Times New Roman"/>
      <w:kern w:val="2"/>
      <w:sz w:val="18"/>
      <w:szCs w:val="18"/>
    </w:rPr>
  </w:style>
  <w:style w:type="paragraph" w:customStyle="1" w:styleId="8">
    <w:name w:val="Table Paragraph"/>
    <w:basedOn w:val="1"/>
    <w:uiPriority w:val="0"/>
    <w:rPr>
      <w:rFonts w:ascii="宋体" w:hAnsi="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3027</Words>
  <Characters>3228</Characters>
  <Lines>34</Lines>
  <Paragraphs>9</Paragraphs>
  <TotalTime>2</TotalTime>
  <ScaleCrop>false</ScaleCrop>
  <LinksUpToDate>false</LinksUpToDate>
  <CharactersWithSpaces>3856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2022-03-15T06:46:00Z</dcterms:created>
  <dc:creator>Administrator</dc:creator>
  <cp:lastModifiedBy>鸿</cp:lastModifiedBy>
  <dcterms:modified xsi:type="dcterms:W3CDTF">2024-04-26T07:41:08Z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03BB7C95097048CE964C85D1F2BCE4F1</vt:lpwstr>
  </property>
</Properties>
</file>