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教育局专项工作经费</w:t>
      </w:r>
      <w:r>
        <w:rPr>
          <w:rFonts w:hint="eastAsia" w:ascii="黑体" w:hAnsi="黑体" w:eastAsia="黑体"/>
          <w:sz w:val="44"/>
          <w:szCs w:val="44"/>
          <w:lang w:eastAsia="zh-CN"/>
        </w:rPr>
        <w:br w:type="textWrapping"/>
      </w:r>
      <w:r>
        <w:rPr>
          <w:rFonts w:hint="eastAsia" w:ascii="黑体" w:hAnsi="黑体" w:eastAsia="黑体"/>
          <w:sz w:val="44"/>
          <w:szCs w:val="44"/>
        </w:rPr>
        <w:t>专项资金</w:t>
      </w:r>
      <w:r>
        <w:rPr>
          <w:rFonts w:ascii="黑体" w:hAnsi="黑体" w:eastAsia="黑体"/>
          <w:sz w:val="44"/>
          <w:szCs w:val="44"/>
        </w:rPr>
        <w:t>绩效自评报告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根据上级文件要求，我单位对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教育局专项工作经费</w:t>
      </w:r>
      <w:r>
        <w:rPr>
          <w:rFonts w:hint="eastAsia" w:ascii="仿宋" w:hAnsi="仿宋" w:eastAsia="仿宋" w:cs="仿宋"/>
          <w:sz w:val="32"/>
          <w:szCs w:val="32"/>
        </w:rPr>
        <w:t>专项资金绩效评价，现将自评结果报告如下：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ascii="Calibri" w:hAnsi="Calibri" w:eastAsia="黑体" w:cs="Times New Roman"/>
          <w:sz w:val="30"/>
          <w:szCs w:val="30"/>
        </w:rPr>
        <w:t>一、项目基本情况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（一）项目</w:t>
      </w:r>
      <w:r>
        <w:rPr>
          <w:rFonts w:ascii="仿宋" w:hAnsi="仿宋" w:eastAsia="仿宋"/>
          <w:sz w:val="32"/>
          <w:szCs w:val="32"/>
        </w:rPr>
        <w:t>资金基本</w:t>
      </w:r>
      <w:r>
        <w:rPr>
          <w:rFonts w:ascii="仿宋" w:hAnsi="仿宋" w:eastAsia="仿宋" w:cs="Times New Roman"/>
          <w:sz w:val="32"/>
          <w:szCs w:val="32"/>
        </w:rPr>
        <w:t>概况</w:t>
      </w:r>
    </w:p>
    <w:p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/>
          <w:sz w:val="32"/>
          <w:szCs w:val="32"/>
        </w:rPr>
        <w:t>年度</w:t>
      </w:r>
      <w:r>
        <w:rPr>
          <w:rFonts w:hint="eastAsia" w:ascii="仿宋" w:hAnsi="仿宋" w:eastAsia="仿宋"/>
          <w:sz w:val="32"/>
          <w:szCs w:val="32"/>
          <w:lang w:eastAsia="zh-CN"/>
        </w:rPr>
        <w:t>教育局专项工作经费</w:t>
      </w:r>
      <w:r>
        <w:rPr>
          <w:rFonts w:hint="eastAsia" w:ascii="仿宋" w:hAnsi="仿宋" w:eastAsia="仿宋"/>
          <w:sz w:val="32"/>
          <w:szCs w:val="32"/>
        </w:rPr>
        <w:t>专项资金共计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67.2</w:t>
      </w:r>
      <w:r>
        <w:rPr>
          <w:rFonts w:hint="eastAsia" w:ascii="仿宋" w:hAnsi="仿宋" w:eastAsia="仿宋"/>
          <w:sz w:val="32"/>
          <w:szCs w:val="32"/>
        </w:rPr>
        <w:t>万元，全部用于保障教育局机关正常运转。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（二）项目绩效目标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推进教育优先发展，落实立德树人根本任务，深化教育改革，推进教育公平，发展素质教育，配合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人民政府对教育的投入</w:t>
      </w:r>
      <w:r>
        <w:rPr>
          <w:rFonts w:hint="eastAsia" w:ascii="仿宋" w:hAnsi="仿宋" w:eastAsia="仿宋"/>
          <w:sz w:val="32"/>
          <w:szCs w:val="32"/>
          <w:lang w:eastAsia="zh-CN"/>
        </w:rPr>
        <w:t>工作。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二、项目资金使用及管理情况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（一）项目资金安排落实及总投入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教育局专项工作经费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预算安排67.2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（二）项目资金实际使用情况</w:t>
      </w:r>
    </w:p>
    <w:p>
      <w:pPr>
        <w:spacing w:line="540" w:lineRule="exact"/>
        <w:ind w:firstLine="645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教育局专项工作经费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实际使用67.2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全部用于</w:t>
      </w:r>
      <w:r>
        <w:rPr>
          <w:rFonts w:hint="eastAsia" w:ascii="仿宋" w:hAnsi="仿宋" w:eastAsia="仿宋"/>
          <w:sz w:val="30"/>
          <w:szCs w:val="30"/>
          <w:lang w:eastAsia="zh-CN"/>
        </w:rPr>
        <w:t>教育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各项工作的开展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（三）项目资金管理情况分析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1.项目资金情况分析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教育局专项工作经费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67.2</w:t>
      </w:r>
      <w:r>
        <w:rPr>
          <w:rFonts w:hint="eastAsia" w:ascii="仿宋" w:hAnsi="仿宋" w:eastAsia="仿宋" w:cs="仿宋"/>
          <w:sz w:val="32"/>
          <w:szCs w:val="32"/>
        </w:rPr>
        <w:t xml:space="preserve"> 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据实</w:t>
      </w:r>
      <w:r>
        <w:rPr>
          <w:rFonts w:hint="eastAsia" w:ascii="仿宋" w:hAnsi="仿宋" w:eastAsia="仿宋" w:cs="仿宋"/>
          <w:sz w:val="32"/>
          <w:szCs w:val="32"/>
        </w:rPr>
        <w:t>拨付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67.2万元。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2.资金管理情况分析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教育局专项工作经费</w:t>
      </w:r>
      <w:r>
        <w:rPr>
          <w:rFonts w:hint="eastAsia" w:ascii="仿宋" w:hAnsi="仿宋" w:eastAsia="仿宋" w:cs="仿宋"/>
          <w:sz w:val="32"/>
          <w:szCs w:val="32"/>
        </w:rPr>
        <w:t>专项资金专款专用、专帐管理，按照财务管理制度支付，由靖州县财政国库集中支付局集中支付，最大程度上避免了违规情况发生。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3.项目组织和项目管理情况分析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教育局专项工作经费</w:t>
      </w:r>
      <w:r>
        <w:rPr>
          <w:rFonts w:hint="eastAsia" w:ascii="仿宋" w:hAnsi="仿宋" w:eastAsia="仿宋" w:cs="仿宋"/>
          <w:sz w:val="32"/>
          <w:szCs w:val="32"/>
        </w:rPr>
        <w:t>专项资金主要由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办公室</w:t>
      </w:r>
      <w:r>
        <w:rPr>
          <w:rFonts w:hint="eastAsia" w:ascii="仿宋" w:hAnsi="仿宋" w:eastAsia="仿宋" w:cs="仿宋"/>
          <w:sz w:val="32"/>
          <w:szCs w:val="32"/>
        </w:rPr>
        <w:t>根据当年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年度工作任务，合理进行安排，稳步进行各项教育及周边相关工作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40" w:lineRule="exact"/>
        <w:ind w:firstLine="645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三、项目资金支出绩效情况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教育局专项工作经费</w:t>
      </w:r>
      <w:r>
        <w:rPr>
          <w:rFonts w:hint="eastAsia" w:ascii="仿宋" w:hAnsi="仿宋" w:eastAsia="仿宋" w:cs="仿宋"/>
          <w:sz w:val="32"/>
          <w:szCs w:val="32"/>
        </w:rPr>
        <w:t>专项资金支出取得了良好的成效，完成了预期建设目标任务。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1.项目经济性分析，工程成本控制在预算内，成本控制良好。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2.项目的效率性分析，项目的实施进度按照计划如期完成，完成质量良好。项目资金的投入得到保障，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全县教育教学工作</w:t>
      </w:r>
      <w:r>
        <w:rPr>
          <w:rFonts w:hint="eastAsia" w:ascii="仿宋" w:hAnsi="仿宋" w:eastAsia="仿宋" w:cs="仿宋"/>
          <w:sz w:val="32"/>
          <w:szCs w:val="32"/>
        </w:rPr>
        <w:t>得到了有效保证，受到了社会广泛的好评。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四</w:t>
      </w:r>
      <w:r>
        <w:rPr>
          <w:rFonts w:ascii="Calibri" w:hAnsi="Calibri" w:eastAsia="黑体" w:cs="Times New Roman"/>
          <w:sz w:val="30"/>
          <w:szCs w:val="30"/>
        </w:rPr>
        <w:t>、</w:t>
      </w:r>
      <w:r>
        <w:rPr>
          <w:rFonts w:hint="eastAsia" w:eastAsia="黑体"/>
          <w:sz w:val="30"/>
          <w:szCs w:val="30"/>
        </w:rPr>
        <w:t>主要</w:t>
      </w:r>
      <w:r>
        <w:rPr>
          <w:rFonts w:eastAsia="黑体"/>
          <w:sz w:val="30"/>
          <w:szCs w:val="30"/>
        </w:rPr>
        <w:t>经验和做法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项目责任到人，从计划制定、审批、付款等各个程序专人负责、严格把关，严格按国家政策和省、市政策法规办事、手续齐全。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五</w:t>
      </w:r>
      <w:r>
        <w:rPr>
          <w:rFonts w:ascii="Calibri" w:hAnsi="Calibri" w:eastAsia="黑体" w:cs="Times New Roman"/>
          <w:sz w:val="30"/>
          <w:szCs w:val="30"/>
        </w:rPr>
        <w:t>、有关建议</w:t>
      </w:r>
    </w:p>
    <w:p>
      <w:pPr>
        <w:ind w:firstLine="600" w:firstLineChars="200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希望</w:t>
      </w: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持续或</w:t>
      </w:r>
      <w:r>
        <w:rPr>
          <w:rFonts w:hint="eastAsia" w:ascii="仿宋" w:hAnsi="仿宋" w:eastAsia="仿宋" w:cs="Times New Roman"/>
          <w:sz w:val="30"/>
          <w:szCs w:val="30"/>
        </w:rPr>
        <w:t>提高对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教育局专项工作经费</w:t>
      </w:r>
      <w:r>
        <w:rPr>
          <w:rFonts w:hint="eastAsia" w:ascii="仿宋" w:hAnsi="仿宋" w:eastAsia="仿宋" w:cs="Times New Roman"/>
          <w:sz w:val="30"/>
          <w:szCs w:val="30"/>
        </w:rPr>
        <w:t>的投入。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spacing w:line="600" w:lineRule="exact"/>
        <w:rPr>
          <w:rFonts w:ascii="Calibri" w:hAnsi="Calibri" w:eastAsia="仿宋_GB2312" w:cs="Times New Roman"/>
          <w:sz w:val="32"/>
          <w:szCs w:val="32"/>
        </w:rPr>
      </w:pPr>
    </w:p>
    <w:p>
      <w:pPr>
        <w:spacing w:line="600" w:lineRule="exact"/>
        <w:rPr>
          <w:rFonts w:ascii="Calibri" w:hAnsi="Calibri" w:eastAsia="仿宋_GB2312" w:cs="Times New Roman"/>
          <w:sz w:val="32"/>
          <w:szCs w:val="32"/>
        </w:rPr>
      </w:pPr>
    </w:p>
    <w:p>
      <w:pPr>
        <w:spacing w:line="600" w:lineRule="exact"/>
        <w:rPr>
          <w:rFonts w:ascii="Calibri" w:hAnsi="Calibri" w:eastAsia="仿宋_GB2312"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600" w:lineRule="exac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附件3</w:t>
      </w:r>
    </w:p>
    <w:p>
      <w:pPr>
        <w:pStyle w:val="29"/>
        <w:spacing w:before="57"/>
        <w:ind w:left="331"/>
        <w:jc w:val="center"/>
        <w:rPr>
          <w:rFonts w:hint="eastAsia"/>
          <w:sz w:val="18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sz w:val="28"/>
          <w:szCs w:val="40"/>
          <w:lang w:eastAsia="zh-CN"/>
        </w:rPr>
        <w:t>项目支出绩效自评表</w:t>
      </w:r>
    </w:p>
    <w:p>
      <w:pPr>
        <w:pStyle w:val="29"/>
        <w:spacing w:before="57"/>
        <w:ind w:left="331"/>
        <w:jc w:val="center"/>
        <w:rPr>
          <w:rFonts w:hint="eastAsia"/>
          <w:sz w:val="22"/>
          <w:szCs w:val="32"/>
          <w:lang w:eastAsia="zh-CN"/>
        </w:rPr>
      </w:pPr>
      <w:r>
        <w:rPr>
          <w:rFonts w:hint="eastAsia"/>
          <w:sz w:val="22"/>
          <w:szCs w:val="32"/>
          <w:lang w:eastAsia="zh-CN"/>
        </w:rPr>
        <w:t>（</w:t>
      </w:r>
      <w:r>
        <w:rPr>
          <w:rFonts w:hint="eastAsia"/>
          <w:sz w:val="22"/>
          <w:szCs w:val="32"/>
          <w:lang w:val="en-US" w:eastAsia="zh-CN"/>
        </w:rPr>
        <w:t>2023年度</w:t>
      </w:r>
      <w:r>
        <w:rPr>
          <w:rFonts w:hint="eastAsia"/>
          <w:sz w:val="22"/>
          <w:szCs w:val="32"/>
          <w:lang w:eastAsia="zh-CN"/>
        </w:rPr>
        <w:t>）</w:t>
      </w:r>
    </w:p>
    <w:tbl>
      <w:tblPr>
        <w:tblStyle w:val="14"/>
        <w:tblW w:w="99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4"/>
        <w:gridCol w:w="883"/>
        <w:gridCol w:w="177"/>
        <w:gridCol w:w="1500"/>
        <w:gridCol w:w="677"/>
        <w:gridCol w:w="1299"/>
        <w:gridCol w:w="312"/>
        <w:gridCol w:w="888"/>
        <w:gridCol w:w="1081"/>
        <w:gridCol w:w="51"/>
        <w:gridCol w:w="593"/>
        <w:gridCol w:w="266"/>
        <w:gridCol w:w="377"/>
        <w:gridCol w:w="469"/>
        <w:gridCol w:w="8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387" w:type="dxa"/>
            <w:gridSpan w:val="2"/>
          </w:tcPr>
          <w:p>
            <w:pPr>
              <w:pStyle w:val="29"/>
              <w:spacing w:before="57"/>
              <w:ind w:left="331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8570" w:type="dxa"/>
            <w:gridSpan w:val="13"/>
          </w:tcPr>
          <w:p>
            <w:pPr>
              <w:pStyle w:val="29"/>
              <w:spacing w:before="57" w:line="360" w:lineRule="auto"/>
              <w:ind w:right="3327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教育局专项工作经费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</w:tcPr>
          <w:p>
            <w:pPr>
              <w:pStyle w:val="29"/>
              <w:spacing w:before="57"/>
              <w:ind w:left="331"/>
              <w:rPr>
                <w:sz w:val="18"/>
              </w:rPr>
            </w:pPr>
            <w:r>
              <w:rPr>
                <w:sz w:val="18"/>
              </w:rPr>
              <w:t>主管部门</w:t>
            </w:r>
          </w:p>
        </w:tc>
        <w:tc>
          <w:tcPr>
            <w:tcW w:w="4853" w:type="dxa"/>
            <w:gridSpan w:val="6"/>
          </w:tcPr>
          <w:p>
            <w:pPr>
              <w:pStyle w:val="29"/>
              <w:spacing w:before="57" w:line="360" w:lineRule="auto"/>
              <w:ind w:left="1960" w:right="1953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教育局</w:t>
            </w:r>
          </w:p>
        </w:tc>
        <w:tc>
          <w:tcPr>
            <w:tcW w:w="1132" w:type="dxa"/>
            <w:gridSpan w:val="2"/>
          </w:tcPr>
          <w:p>
            <w:pPr>
              <w:pStyle w:val="29"/>
              <w:spacing w:before="57" w:line="360" w:lineRule="auto"/>
              <w:ind w:left="246"/>
              <w:rPr>
                <w:sz w:val="18"/>
              </w:rPr>
            </w:pPr>
            <w:r>
              <w:rPr>
                <w:sz w:val="18"/>
              </w:rPr>
              <w:t>实施单位</w:t>
            </w:r>
          </w:p>
        </w:tc>
        <w:tc>
          <w:tcPr>
            <w:tcW w:w="2585" w:type="dxa"/>
            <w:gridSpan w:val="5"/>
          </w:tcPr>
          <w:p>
            <w:pPr>
              <w:pStyle w:val="29"/>
              <w:spacing w:line="360" w:lineRule="auto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restart"/>
          </w:tcPr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spacing w:before="2"/>
              <w:rPr>
                <w:rFonts w:ascii="Times New Roman"/>
                <w:sz w:val="17"/>
              </w:rPr>
            </w:pPr>
          </w:p>
          <w:p>
            <w:pPr>
              <w:pStyle w:val="29"/>
              <w:ind w:left="331"/>
              <w:rPr>
                <w:sz w:val="18"/>
              </w:rPr>
            </w:pPr>
            <w:r>
              <w:rPr>
                <w:sz w:val="18"/>
              </w:rPr>
              <w:t>项目资金</w:t>
            </w:r>
          </w:p>
          <w:p>
            <w:pPr>
              <w:pStyle w:val="29"/>
              <w:spacing w:before="10"/>
              <w:ind w:left="331"/>
              <w:rPr>
                <w:sz w:val="18"/>
              </w:rPr>
            </w:pPr>
            <w:r>
              <w:rPr>
                <w:sz w:val="18"/>
              </w:rPr>
              <w:t>（万元）</w:t>
            </w:r>
          </w:p>
        </w:tc>
        <w:tc>
          <w:tcPr>
            <w:tcW w:w="2354" w:type="dxa"/>
            <w:gridSpan w:val="3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99" w:type="dxa"/>
          </w:tcPr>
          <w:p>
            <w:pPr>
              <w:pStyle w:val="29"/>
              <w:spacing w:before="58" w:line="360" w:lineRule="auto"/>
              <w:ind w:left="180" w:right="170"/>
              <w:jc w:val="center"/>
              <w:rPr>
                <w:sz w:val="18"/>
              </w:rPr>
            </w:pPr>
            <w:r>
              <w:rPr>
                <w:sz w:val="18"/>
              </w:rPr>
              <w:t>年初预算数</w:t>
            </w:r>
          </w:p>
        </w:tc>
        <w:tc>
          <w:tcPr>
            <w:tcW w:w="1200" w:type="dxa"/>
            <w:gridSpan w:val="2"/>
          </w:tcPr>
          <w:p>
            <w:pPr>
              <w:pStyle w:val="29"/>
              <w:spacing w:before="58" w:line="360" w:lineRule="auto"/>
              <w:ind w:left="243"/>
              <w:rPr>
                <w:sz w:val="18"/>
              </w:rPr>
            </w:pPr>
            <w:r>
              <w:rPr>
                <w:sz w:val="18"/>
              </w:rPr>
              <w:t>全年预算数</w:t>
            </w:r>
          </w:p>
        </w:tc>
        <w:tc>
          <w:tcPr>
            <w:tcW w:w="1132" w:type="dxa"/>
            <w:gridSpan w:val="2"/>
          </w:tcPr>
          <w:p>
            <w:pPr>
              <w:pStyle w:val="29"/>
              <w:spacing w:before="58" w:line="360" w:lineRule="auto"/>
              <w:ind w:left="157"/>
              <w:rPr>
                <w:sz w:val="18"/>
              </w:rPr>
            </w:pPr>
            <w:r>
              <w:rPr>
                <w:sz w:val="18"/>
              </w:rPr>
              <w:t>全年执行数</w:t>
            </w:r>
          </w:p>
        </w:tc>
        <w:tc>
          <w:tcPr>
            <w:tcW w:w="859" w:type="dxa"/>
            <w:gridSpan w:val="2"/>
          </w:tcPr>
          <w:p>
            <w:pPr>
              <w:pStyle w:val="29"/>
              <w:spacing w:before="58" w:line="360" w:lineRule="auto"/>
              <w:ind w:left="222"/>
              <w:rPr>
                <w:sz w:val="18"/>
              </w:rPr>
            </w:pPr>
            <w:r>
              <w:rPr>
                <w:sz w:val="18"/>
              </w:rPr>
              <w:t>分值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before="58" w:line="360" w:lineRule="auto"/>
              <w:ind w:left="214"/>
              <w:rPr>
                <w:sz w:val="18"/>
              </w:rPr>
            </w:pPr>
            <w:r>
              <w:rPr>
                <w:sz w:val="18"/>
              </w:rPr>
              <w:t>执行率</w:t>
            </w:r>
          </w:p>
        </w:tc>
        <w:tc>
          <w:tcPr>
            <w:tcW w:w="880" w:type="dxa"/>
          </w:tcPr>
          <w:p>
            <w:pPr>
              <w:pStyle w:val="29"/>
              <w:spacing w:before="58" w:line="360" w:lineRule="auto"/>
              <w:ind w:left="218" w:right="209"/>
              <w:jc w:val="center"/>
              <w:rPr>
                <w:sz w:val="18"/>
              </w:rPr>
            </w:pPr>
            <w:r>
              <w:rPr>
                <w:sz w:val="18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8" w:line="360" w:lineRule="auto"/>
              <w:ind w:left="106"/>
              <w:rPr>
                <w:sz w:val="18"/>
              </w:rPr>
            </w:pPr>
            <w:r>
              <w:rPr>
                <w:sz w:val="18"/>
              </w:rPr>
              <w:t>年度资金总额</w:t>
            </w:r>
          </w:p>
        </w:tc>
        <w:tc>
          <w:tcPr>
            <w:tcW w:w="1299" w:type="dxa"/>
          </w:tcPr>
          <w:p>
            <w:pPr>
              <w:pStyle w:val="29"/>
              <w:spacing w:before="58" w:line="360" w:lineRule="auto"/>
              <w:ind w:left="178" w:right="170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67.2</w:t>
            </w:r>
          </w:p>
        </w:tc>
        <w:tc>
          <w:tcPr>
            <w:tcW w:w="1200" w:type="dxa"/>
            <w:gridSpan w:val="2"/>
            <w:vAlign w:val="top"/>
          </w:tcPr>
          <w:p>
            <w:pPr>
              <w:pStyle w:val="29"/>
              <w:spacing w:before="58" w:line="360" w:lineRule="auto"/>
              <w:ind w:left="178" w:leftChars="0" w:right="170" w:rightChars="0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67.2</w:t>
            </w:r>
          </w:p>
        </w:tc>
        <w:tc>
          <w:tcPr>
            <w:tcW w:w="1132" w:type="dxa"/>
            <w:gridSpan w:val="2"/>
            <w:vAlign w:val="top"/>
          </w:tcPr>
          <w:p>
            <w:pPr>
              <w:pStyle w:val="29"/>
              <w:spacing w:before="58" w:line="360" w:lineRule="auto"/>
              <w:ind w:left="178" w:leftChars="0" w:right="170" w:rightChars="0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67.2</w:t>
            </w:r>
          </w:p>
        </w:tc>
        <w:tc>
          <w:tcPr>
            <w:tcW w:w="859" w:type="dxa"/>
            <w:gridSpan w:val="2"/>
          </w:tcPr>
          <w:p>
            <w:pPr>
              <w:pStyle w:val="29"/>
              <w:spacing w:before="58" w:line="360" w:lineRule="auto"/>
              <w:ind w:left="294" w:right="283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before="58" w:line="360" w:lineRule="auto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100%</w:t>
            </w:r>
          </w:p>
        </w:tc>
        <w:tc>
          <w:tcPr>
            <w:tcW w:w="880" w:type="dxa"/>
          </w:tcPr>
          <w:p>
            <w:pPr>
              <w:pStyle w:val="29"/>
              <w:spacing w:before="58" w:line="360" w:lineRule="auto"/>
              <w:ind w:left="217" w:right="20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6" w:line="360" w:lineRule="auto"/>
              <w:ind w:left="365"/>
              <w:rPr>
                <w:sz w:val="18"/>
              </w:rPr>
            </w:pPr>
            <w:r>
              <w:rPr>
                <w:sz w:val="18"/>
              </w:rPr>
              <w:t>其中：当年财政拨款</w:t>
            </w:r>
          </w:p>
        </w:tc>
        <w:tc>
          <w:tcPr>
            <w:tcW w:w="1299" w:type="dxa"/>
          </w:tcPr>
          <w:p>
            <w:pPr>
              <w:pStyle w:val="29"/>
              <w:spacing w:before="56" w:line="360" w:lineRule="auto"/>
              <w:ind w:left="178" w:right="170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67.2</w:t>
            </w:r>
          </w:p>
        </w:tc>
        <w:tc>
          <w:tcPr>
            <w:tcW w:w="1200" w:type="dxa"/>
            <w:gridSpan w:val="2"/>
            <w:vAlign w:val="top"/>
          </w:tcPr>
          <w:p>
            <w:pPr>
              <w:pStyle w:val="29"/>
              <w:spacing w:before="56" w:line="360" w:lineRule="auto"/>
              <w:ind w:left="178" w:leftChars="0" w:right="170" w:rightChars="0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67.2</w:t>
            </w:r>
          </w:p>
        </w:tc>
        <w:tc>
          <w:tcPr>
            <w:tcW w:w="1132" w:type="dxa"/>
            <w:gridSpan w:val="2"/>
            <w:vAlign w:val="top"/>
          </w:tcPr>
          <w:p>
            <w:pPr>
              <w:pStyle w:val="29"/>
              <w:spacing w:before="58" w:line="360" w:lineRule="auto"/>
              <w:ind w:left="178" w:leftChars="0" w:right="170" w:rightChars="0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67.2</w:t>
            </w:r>
          </w:p>
        </w:tc>
        <w:tc>
          <w:tcPr>
            <w:tcW w:w="859" w:type="dxa"/>
            <w:gridSpan w:val="2"/>
          </w:tcPr>
          <w:p>
            <w:pPr>
              <w:pStyle w:val="29"/>
              <w:spacing w:before="56" w:line="360" w:lineRule="auto"/>
              <w:ind w:left="294" w:right="283"/>
              <w:jc w:val="center"/>
              <w:rPr>
                <w:rFonts w:hint="default" w:eastAsia="宋体"/>
                <w:sz w:val="18"/>
                <w:lang w:val="en-US" w:eastAsia="zh-CN"/>
              </w:rPr>
            </w:pPr>
          </w:p>
        </w:tc>
        <w:tc>
          <w:tcPr>
            <w:tcW w:w="846" w:type="dxa"/>
            <w:gridSpan w:val="2"/>
          </w:tcPr>
          <w:p>
            <w:pPr>
              <w:pStyle w:val="29"/>
              <w:spacing w:before="56" w:line="360" w:lineRule="auto"/>
              <w:ind w:left="302"/>
              <w:rPr>
                <w:rFonts w:hint="default" w:eastAsia="宋体"/>
                <w:sz w:val="18"/>
                <w:lang w:val="en-US" w:eastAsia="zh-CN"/>
              </w:rPr>
            </w:pPr>
          </w:p>
        </w:tc>
        <w:tc>
          <w:tcPr>
            <w:tcW w:w="880" w:type="dxa"/>
          </w:tcPr>
          <w:p>
            <w:pPr>
              <w:pStyle w:val="29"/>
              <w:spacing w:before="56" w:line="360" w:lineRule="auto"/>
              <w:ind w:left="217" w:right="209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6" w:line="360" w:lineRule="auto"/>
              <w:ind w:left="905"/>
              <w:rPr>
                <w:sz w:val="18"/>
              </w:rPr>
            </w:pPr>
            <w:r>
              <w:rPr>
                <w:sz w:val="18"/>
              </w:rPr>
              <w:t>上年结转资金</w:t>
            </w:r>
          </w:p>
        </w:tc>
        <w:tc>
          <w:tcPr>
            <w:tcW w:w="1299" w:type="dxa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  <w:gridSpan w:val="2"/>
          </w:tcPr>
          <w:p>
            <w:pPr>
              <w:pStyle w:val="29"/>
              <w:spacing w:before="56" w:line="360" w:lineRule="auto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</w:tcPr>
          <w:p>
            <w:pPr>
              <w:pStyle w:val="29"/>
              <w:spacing w:before="56" w:line="360" w:lineRule="auto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7" w:line="360" w:lineRule="auto"/>
              <w:ind w:left="905"/>
              <w:rPr>
                <w:sz w:val="18"/>
              </w:rPr>
            </w:pPr>
            <w:r>
              <w:rPr>
                <w:sz w:val="18"/>
              </w:rPr>
              <w:t>其他资金</w:t>
            </w:r>
          </w:p>
        </w:tc>
        <w:tc>
          <w:tcPr>
            <w:tcW w:w="1299" w:type="dxa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  <w:gridSpan w:val="2"/>
          </w:tcPr>
          <w:p>
            <w:pPr>
              <w:pStyle w:val="29"/>
              <w:spacing w:before="57" w:line="360" w:lineRule="auto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</w:tcPr>
          <w:p>
            <w:pPr>
              <w:pStyle w:val="29"/>
              <w:spacing w:before="57" w:line="360" w:lineRule="auto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504" w:type="dxa"/>
            <w:vMerge w:val="restart"/>
          </w:tcPr>
          <w:p>
            <w:pPr>
              <w:pStyle w:val="29"/>
              <w:spacing w:before="3"/>
              <w:rPr>
                <w:rFonts w:ascii="Times New Roman"/>
                <w:sz w:val="26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年度总体目标</w:t>
            </w:r>
          </w:p>
        </w:tc>
        <w:tc>
          <w:tcPr>
            <w:tcW w:w="5736" w:type="dxa"/>
            <w:gridSpan w:val="7"/>
          </w:tcPr>
          <w:p>
            <w:pPr>
              <w:pStyle w:val="29"/>
              <w:spacing w:before="57" w:line="360" w:lineRule="auto"/>
              <w:ind w:left="2582" w:right="2575"/>
              <w:jc w:val="center"/>
              <w:rPr>
                <w:sz w:val="18"/>
              </w:rPr>
            </w:pPr>
            <w:r>
              <w:rPr>
                <w:sz w:val="18"/>
              </w:rPr>
              <w:t>预期目标</w:t>
            </w:r>
          </w:p>
        </w:tc>
        <w:tc>
          <w:tcPr>
            <w:tcW w:w="3717" w:type="dxa"/>
            <w:gridSpan w:val="7"/>
          </w:tcPr>
          <w:p>
            <w:pPr>
              <w:pStyle w:val="29"/>
              <w:spacing w:before="57" w:line="360" w:lineRule="auto"/>
              <w:ind w:left="1354" w:right="1344"/>
              <w:jc w:val="center"/>
              <w:rPr>
                <w:sz w:val="18"/>
              </w:rPr>
            </w:pPr>
            <w:r>
              <w:rPr>
                <w:sz w:val="18"/>
              </w:rPr>
              <w:t>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2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6" w:type="dxa"/>
            <w:gridSpan w:val="7"/>
            <w:vAlign w:val="center"/>
          </w:tcPr>
          <w:p>
            <w:pPr>
              <w:pStyle w:val="29"/>
              <w:jc w:val="center"/>
              <w:rPr>
                <w:rFonts w:ascii="Times New Roman"/>
                <w:sz w:val="15"/>
                <w:szCs w:val="21"/>
              </w:rPr>
            </w:pPr>
          </w:p>
          <w:p>
            <w:pPr>
              <w:pStyle w:val="29"/>
              <w:spacing w:line="249" w:lineRule="auto"/>
              <w:ind w:left="108" w:right="96"/>
              <w:jc w:val="center"/>
              <w:rPr>
                <w:rFonts w:hint="eastAsia" w:eastAsia="宋体"/>
                <w:sz w:val="15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用于保障教育局机关正常运转</w:t>
            </w:r>
            <w:r>
              <w:rPr>
                <w:rFonts w:hint="eastAsia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717" w:type="dxa"/>
            <w:gridSpan w:val="7"/>
            <w:vAlign w:val="center"/>
          </w:tcPr>
          <w:p>
            <w:pPr>
              <w:pStyle w:val="29"/>
              <w:spacing w:before="12" w:line="249" w:lineRule="auto"/>
              <w:ind w:left="107" w:right="6"/>
              <w:jc w:val="center"/>
              <w:rPr>
                <w:rFonts w:hint="default" w:eastAsia="宋体"/>
                <w:sz w:val="15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5"/>
                <w:lang w:val="en-US" w:eastAsia="zh-CN"/>
              </w:rPr>
              <w:t>全部完成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504" w:type="dxa"/>
            <w:vMerge w:val="restart"/>
          </w:tcPr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spacing w:before="7"/>
              <w:rPr>
                <w:rFonts w:ascii="Times New Roman"/>
                <w:sz w:val="17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绩</w:t>
            </w: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效</w:t>
            </w: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指</w:t>
            </w: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标</w:t>
            </w:r>
          </w:p>
        </w:tc>
        <w:tc>
          <w:tcPr>
            <w:tcW w:w="1060" w:type="dxa"/>
            <w:gridSpan w:val="2"/>
            <w:vAlign w:val="center"/>
          </w:tcPr>
          <w:p>
            <w:pPr>
              <w:pStyle w:val="29"/>
              <w:spacing w:before="31" w:line="240" w:lineRule="atLeast"/>
              <w:ind w:left="351" w:right="159" w:hanging="180"/>
              <w:jc w:val="center"/>
              <w:rPr>
                <w:sz w:val="18"/>
              </w:rPr>
            </w:pPr>
            <w:r>
              <w:rPr>
                <w:sz w:val="18"/>
              </w:rPr>
              <w:t>一级指标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60"/>
              <w:ind w:firstLine="360" w:firstLineChars="200"/>
              <w:jc w:val="center"/>
              <w:rPr>
                <w:sz w:val="18"/>
              </w:rPr>
            </w:pPr>
            <w:r>
              <w:rPr>
                <w:sz w:val="18"/>
              </w:rPr>
              <w:t>二级指标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60"/>
              <w:ind w:right="836" w:firstLine="720" w:firstLineChars="40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三级指标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31" w:line="240" w:lineRule="atLeast"/>
              <w:ind w:right="257"/>
              <w:jc w:val="center"/>
              <w:rPr>
                <w:sz w:val="18"/>
              </w:rPr>
            </w:pPr>
            <w:r>
              <w:rPr>
                <w:sz w:val="18"/>
              </w:rPr>
              <w:t>年度指标值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31" w:line="240" w:lineRule="atLeast"/>
              <w:ind w:left="174" w:right="163" w:firstLine="91"/>
              <w:jc w:val="center"/>
              <w:rPr>
                <w:sz w:val="18"/>
              </w:rPr>
            </w:pPr>
            <w:r>
              <w:rPr>
                <w:sz w:val="18"/>
              </w:rPr>
              <w:t>实际完成值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60"/>
              <w:jc w:val="center"/>
              <w:rPr>
                <w:sz w:val="18"/>
              </w:rPr>
            </w:pPr>
            <w:r>
              <w:rPr>
                <w:sz w:val="18"/>
              </w:rPr>
              <w:t>分值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60"/>
              <w:ind w:left="140"/>
              <w:jc w:val="center"/>
              <w:rPr>
                <w:sz w:val="18"/>
              </w:rPr>
            </w:pPr>
            <w:r>
              <w:rPr>
                <w:sz w:val="18"/>
              </w:rPr>
              <w:t>得分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偏差原因</w:t>
            </w:r>
          </w:p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分析及改进</w:t>
            </w:r>
          </w:p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restart"/>
            <w:vAlign w:val="center"/>
          </w:tcPr>
          <w:p>
            <w:pPr>
              <w:pStyle w:val="29"/>
              <w:spacing w:before="3"/>
              <w:jc w:val="center"/>
              <w:rPr>
                <w:rFonts w:ascii="Times New Roman"/>
                <w:sz w:val="18"/>
              </w:rPr>
            </w:pPr>
          </w:p>
          <w:p>
            <w:pPr>
              <w:pStyle w:val="29"/>
              <w:spacing w:line="324" w:lineRule="auto"/>
              <w:ind w:left="351" w:right="159" w:hanging="180"/>
              <w:jc w:val="center"/>
              <w:rPr>
                <w:sz w:val="18"/>
              </w:rPr>
            </w:pPr>
            <w:r>
              <w:rPr>
                <w:sz w:val="18"/>
              </w:rPr>
              <w:t>产出指标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"/>
              <w:jc w:val="center"/>
              <w:rPr>
                <w:rFonts w:ascii="Times New Roman"/>
                <w:sz w:val="14"/>
              </w:rPr>
            </w:pPr>
          </w:p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数量指标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42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专项业务工作完成率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42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100%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100%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 xml:space="preserve">  </w:t>
            </w: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Merge w:val="restart"/>
            <w:vAlign w:val="center"/>
          </w:tcPr>
          <w:p>
            <w:pPr>
              <w:pStyle w:val="29"/>
              <w:spacing w:before="142"/>
              <w:jc w:val="center"/>
              <w:rPr>
                <w:sz w:val="18"/>
              </w:rPr>
            </w:pPr>
            <w:r>
              <w:rPr>
                <w:sz w:val="18"/>
              </w:rPr>
              <w:t>质量指标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42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经费使用准确性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42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100%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Merge w:val="restart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  <w:jc w:val="center"/>
        </w:trPr>
        <w:tc>
          <w:tcPr>
            <w:tcW w:w="504" w:type="dxa"/>
            <w:vMerge w:val="continue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1060" w:type="dxa"/>
            <w:gridSpan w:val="2"/>
            <w:vMerge w:val="continue"/>
            <w:vAlign w:val="center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1500" w:type="dxa"/>
            <w:vMerge w:val="continue"/>
            <w:vAlign w:val="center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42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工作质量考核达标率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42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100%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100%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Merge w:val="continue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Merge w:val="restart"/>
            <w:vAlign w:val="center"/>
          </w:tcPr>
          <w:p>
            <w:pPr>
              <w:pStyle w:val="29"/>
              <w:tabs>
                <w:tab w:val="left" w:pos="265"/>
              </w:tabs>
              <w:ind w:left="396"/>
              <w:jc w:val="both"/>
              <w:rPr>
                <w:sz w:val="18"/>
              </w:rPr>
            </w:pPr>
            <w:r>
              <w:rPr>
                <w:sz w:val="18"/>
              </w:rPr>
              <w:t>时效指标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42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完成及时性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42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2023年12月之前完成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完成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Merge w:val="restart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504" w:type="dxa"/>
            <w:vMerge w:val="continue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1060" w:type="dxa"/>
            <w:gridSpan w:val="2"/>
            <w:vMerge w:val="continue"/>
            <w:vAlign w:val="center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1500" w:type="dxa"/>
            <w:vMerge w:val="continue"/>
            <w:vAlign w:val="center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42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经费支付及时性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42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100%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100%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Merge w:val="continue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Merge w:val="restart"/>
            <w:vAlign w:val="center"/>
          </w:tcPr>
          <w:p>
            <w:pPr>
              <w:pStyle w:val="29"/>
              <w:jc w:val="center"/>
              <w:rPr>
                <w:sz w:val="18"/>
              </w:rPr>
            </w:pPr>
            <w:r>
              <w:rPr>
                <w:sz w:val="18"/>
              </w:rPr>
              <w:t>成本指标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42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项目支出成本节约率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42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≥0%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Merge w:val="restart"/>
            <w:vAlign w:val="center"/>
          </w:tcPr>
          <w:p>
            <w:pPr>
              <w:pStyle w:val="29"/>
              <w:spacing w:before="4" w:line="240" w:lineRule="atLeast"/>
              <w:ind w:left="107" w:right="9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  <w:jc w:val="center"/>
        </w:trPr>
        <w:tc>
          <w:tcPr>
            <w:tcW w:w="504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106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15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42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教育局专项工作经费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42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≤</w:t>
            </w:r>
            <w:r>
              <w:rPr>
                <w:rFonts w:hint="eastAsia"/>
                <w:sz w:val="18"/>
              </w:rPr>
              <w:t>67.2</w:t>
            </w:r>
            <w:r>
              <w:rPr>
                <w:rFonts w:hint="default"/>
                <w:sz w:val="18"/>
                <w:lang w:val="en-US" w:eastAsia="zh-CN"/>
              </w:rPr>
              <w:t>万元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67.2万元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restart"/>
            <w:vAlign w:val="center"/>
          </w:tcPr>
          <w:p>
            <w:pPr>
              <w:pStyle w:val="29"/>
              <w:spacing w:line="324" w:lineRule="auto"/>
              <w:ind w:right="159"/>
              <w:jc w:val="both"/>
              <w:rPr>
                <w:sz w:val="18"/>
              </w:rPr>
            </w:pPr>
            <w:r>
              <w:rPr>
                <w:sz w:val="18"/>
              </w:rPr>
              <w:t>效益指标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经济效益指标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42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提高教育质量，促进经济发展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42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逐步提高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提高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  <w:r>
              <w:rPr>
                <w:rFonts w:hint="eastAsia" w:ascii="Times New Roman"/>
                <w:sz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Merge w:val="restart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社会效益指标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42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保障机关工作正常开展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42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有效保障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提升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1349" w:type="dxa"/>
            <w:gridSpan w:val="2"/>
            <w:vMerge w:val="restart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52" w:hRule="atLeast"/>
          <w:jc w:val="center"/>
        </w:trPr>
        <w:tc>
          <w:tcPr>
            <w:tcW w:w="504" w:type="dxa"/>
            <w:vMerge w:val="continue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1060" w:type="dxa"/>
            <w:gridSpan w:val="2"/>
            <w:vMerge w:val="continue"/>
            <w:vAlign w:val="center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1500" w:type="dxa"/>
            <w:vMerge w:val="continue"/>
            <w:vAlign w:val="center"/>
          </w:tcPr>
          <w:p>
            <w:pPr>
              <w:pStyle w:val="29"/>
              <w:spacing w:before="1"/>
              <w:jc w:val="center"/>
            </w:pP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42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　</w:t>
            </w:r>
            <w:r>
              <w:rPr>
                <w:sz w:val="18"/>
              </w:rPr>
              <w:t>提高</w:t>
            </w:r>
            <w:r>
              <w:rPr>
                <w:rFonts w:hint="eastAsia"/>
                <w:sz w:val="18"/>
                <w:lang w:eastAsia="zh-CN"/>
              </w:rPr>
              <w:t>工作人员</w:t>
            </w:r>
            <w:r>
              <w:rPr>
                <w:rFonts w:hint="eastAsia"/>
                <w:sz w:val="18"/>
              </w:rPr>
              <w:t>工作效率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42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明显提高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提升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1349" w:type="dxa"/>
            <w:gridSpan w:val="2"/>
            <w:vMerge w:val="continue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55"/>
              <w:jc w:val="center"/>
              <w:rPr>
                <w:sz w:val="18"/>
              </w:rPr>
            </w:pPr>
            <w:r>
              <w:rPr>
                <w:sz w:val="18"/>
              </w:rPr>
              <w:t>环境效益指标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42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　</w:t>
            </w:r>
            <w:r>
              <w:rPr>
                <w:rFonts w:hint="eastAsia"/>
                <w:sz w:val="18"/>
                <w:lang w:val="en-US" w:eastAsia="zh-CN"/>
              </w:rPr>
              <w:t>建设美丽校园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42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效果明显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提高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/>
                <w:sz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jc w:val="center"/>
              <w:rPr>
                <w:sz w:val="18"/>
              </w:rPr>
            </w:pPr>
            <w:r>
              <w:rPr>
                <w:sz w:val="18"/>
              </w:rPr>
              <w:t>可持续影响指标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42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进一步助推义务教育均衡优质发展，确保教育公平公正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42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明显增加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增加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  <w:r>
              <w:rPr>
                <w:rFonts w:hint="eastAsia" w:ascii="Times New Roman"/>
                <w:sz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pStyle w:val="29"/>
              <w:spacing w:before="145" w:line="280" w:lineRule="auto"/>
              <w:ind w:left="259" w:right="159" w:hanging="89"/>
              <w:jc w:val="center"/>
              <w:rPr>
                <w:sz w:val="18"/>
              </w:rPr>
            </w:pPr>
            <w:r>
              <w:rPr>
                <w:sz w:val="18"/>
              </w:rPr>
              <w:t>满意度指标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38" w:line="324" w:lineRule="auto"/>
              <w:ind w:right="115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服务对象满意度指标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42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师生满意度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42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≥</w:t>
            </w:r>
            <w:r>
              <w:rPr>
                <w:rFonts w:hint="eastAsia"/>
                <w:sz w:val="18"/>
              </w:rPr>
              <w:t>90%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ind w:left="245" w:right="234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89</w:t>
            </w:r>
            <w:bookmarkStart w:id="0" w:name="_GoBack"/>
            <w:bookmarkEnd w:id="0"/>
            <w:r>
              <w:rPr>
                <w:rFonts w:hint="eastAsia"/>
                <w:sz w:val="18"/>
                <w:lang w:val="en-US" w:eastAsia="zh-CN"/>
              </w:rPr>
              <w:t>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ind w:left="213" w:right="201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8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6" w:hRule="atLeast"/>
          <w:jc w:val="center"/>
        </w:trPr>
        <w:tc>
          <w:tcPr>
            <w:tcW w:w="7321" w:type="dxa"/>
            <w:gridSpan w:val="9"/>
            <w:vAlign w:val="center"/>
          </w:tcPr>
          <w:p>
            <w:pPr>
              <w:pStyle w:val="29"/>
              <w:ind w:right="3450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 xml:space="preserve">                                      </w:t>
            </w:r>
            <w:r>
              <w:rPr>
                <w:sz w:val="18"/>
              </w:rPr>
              <w:t>总分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98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</w:tbl>
    <w:p/>
    <w:sectPr>
      <w:headerReference r:id="rId3" w:type="default"/>
      <w:footerReference r:id="rId4" w:type="default"/>
      <w:footerReference r:id="rId5" w:type="even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公文小标宋">
    <w:altName w:val="宋体"/>
    <w:panose1 w:val="00000000000000000000"/>
    <w:charset w:val="86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separate"/>
    </w:r>
    <w:r>
      <w:rPr>
        <w:rStyle w:val="16"/>
      </w:rPr>
      <w:t>9</w:t>
    </w:r>
    <w:r>
      <w:rPr>
        <w:rStyle w:val="16"/>
      </w:rPr>
      <w:fldChar w:fldCharType="end"/>
    </w:r>
  </w:p>
  <w:p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end"/>
    </w:r>
  </w:p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44254B"/>
    <w:multiLevelType w:val="multilevel"/>
    <w:tmpl w:val="1F44254B"/>
    <w:lvl w:ilvl="0" w:tentative="0">
      <w:start w:val="2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2"/>
      <w:lvlJc w:val="left"/>
      <w:pPr>
        <w:tabs>
          <w:tab w:val="left" w:pos="576"/>
        </w:tabs>
        <w:ind w:left="576" w:hanging="576"/>
      </w:pPr>
      <w:rPr>
        <w:rFonts w:ascii="Times New Roman" w:hAnsi="Times New Roman" w:eastAsia="Times New Roman" w:cs="Times New Roman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2NmY5YTE4ZjA5YmIzYzEzNDI0MmEzZWFlMGVjMjYifQ=="/>
  </w:docVars>
  <w:rsids>
    <w:rsidRoot w:val="00D66BE1"/>
    <w:rsid w:val="00112792"/>
    <w:rsid w:val="001D44E0"/>
    <w:rsid w:val="00283F49"/>
    <w:rsid w:val="002C6E41"/>
    <w:rsid w:val="002D57D3"/>
    <w:rsid w:val="004B53BA"/>
    <w:rsid w:val="006A67ED"/>
    <w:rsid w:val="00725C1C"/>
    <w:rsid w:val="007A38D4"/>
    <w:rsid w:val="007D2271"/>
    <w:rsid w:val="00840FE0"/>
    <w:rsid w:val="008A17BE"/>
    <w:rsid w:val="008A3C3B"/>
    <w:rsid w:val="0093692F"/>
    <w:rsid w:val="00B50C36"/>
    <w:rsid w:val="00CD6758"/>
    <w:rsid w:val="00D66BE1"/>
    <w:rsid w:val="00E851C0"/>
    <w:rsid w:val="00F65908"/>
    <w:rsid w:val="0A786C09"/>
    <w:rsid w:val="134944E1"/>
    <w:rsid w:val="15DB2100"/>
    <w:rsid w:val="17570264"/>
    <w:rsid w:val="1CF00461"/>
    <w:rsid w:val="201F5E38"/>
    <w:rsid w:val="238F39D4"/>
    <w:rsid w:val="3FC633AB"/>
    <w:rsid w:val="454769F8"/>
    <w:rsid w:val="4C2D08FA"/>
    <w:rsid w:val="4FB70684"/>
    <w:rsid w:val="50C34894"/>
    <w:rsid w:val="58DC0F79"/>
    <w:rsid w:val="598A5A14"/>
    <w:rsid w:val="5FED70B0"/>
    <w:rsid w:val="61E70D16"/>
    <w:rsid w:val="632A50F1"/>
    <w:rsid w:val="6683763C"/>
    <w:rsid w:val="66C0263F"/>
    <w:rsid w:val="67A1421E"/>
    <w:rsid w:val="6952105C"/>
    <w:rsid w:val="6E0F09AF"/>
    <w:rsid w:val="75040CD6"/>
    <w:rsid w:val="79D90A57"/>
    <w:rsid w:val="7C372D18"/>
    <w:rsid w:val="7D2818D9"/>
    <w:rsid w:val="7DD2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22"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paragraph" w:styleId="5">
    <w:name w:val="heading 4"/>
    <w:basedOn w:val="1"/>
    <w:next w:val="1"/>
    <w:link w:val="23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paragraph" w:styleId="6">
    <w:name w:val="heading 5"/>
    <w:basedOn w:val="1"/>
    <w:next w:val="1"/>
    <w:link w:val="24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Times New Roman" w:hAnsi="Times New Roman" w:eastAsia="宋体" w:cs="Times New Roman"/>
      <w:b/>
      <w:bCs/>
      <w:sz w:val="28"/>
      <w:szCs w:val="28"/>
    </w:rPr>
  </w:style>
  <w:style w:type="paragraph" w:styleId="7">
    <w:name w:val="heading 6"/>
    <w:basedOn w:val="1"/>
    <w:next w:val="1"/>
    <w:link w:val="25"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 w:cs="Times New Roman"/>
      <w:b/>
      <w:bCs/>
      <w:sz w:val="24"/>
      <w:szCs w:val="24"/>
    </w:rPr>
  </w:style>
  <w:style w:type="paragraph" w:styleId="8">
    <w:name w:val="heading 7"/>
    <w:basedOn w:val="1"/>
    <w:next w:val="1"/>
    <w:link w:val="26"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Times New Roman" w:hAnsi="Times New Roman" w:eastAsia="宋体" w:cs="Times New Roman"/>
      <w:b/>
      <w:bCs/>
      <w:sz w:val="24"/>
      <w:szCs w:val="24"/>
    </w:rPr>
  </w:style>
  <w:style w:type="paragraph" w:styleId="9">
    <w:name w:val="heading 8"/>
    <w:basedOn w:val="1"/>
    <w:next w:val="1"/>
    <w:link w:val="27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 w:cs="Times New Roman"/>
      <w:sz w:val="24"/>
      <w:szCs w:val="24"/>
    </w:rPr>
  </w:style>
  <w:style w:type="paragraph" w:styleId="10">
    <w:name w:val="heading 9"/>
    <w:basedOn w:val="1"/>
    <w:next w:val="1"/>
    <w:link w:val="28"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 w:cs="Times New Roman"/>
      <w:szCs w:val="21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1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styleId="16">
    <w:name w:val="page number"/>
    <w:basedOn w:val="15"/>
    <w:qFormat/>
    <w:uiPriority w:val="0"/>
  </w:style>
  <w:style w:type="character" w:styleId="17">
    <w:name w:val="Hyperlink"/>
    <w:qFormat/>
    <w:uiPriority w:val="0"/>
    <w:rPr>
      <w:color w:val="000000"/>
      <w:u w:val="none"/>
    </w:rPr>
  </w:style>
  <w:style w:type="character" w:customStyle="1" w:styleId="18">
    <w:name w:val="页眉 Char"/>
    <w:basedOn w:val="15"/>
    <w:link w:val="12"/>
    <w:semiHidden/>
    <w:qFormat/>
    <w:uiPriority w:val="99"/>
    <w:rPr>
      <w:sz w:val="18"/>
      <w:szCs w:val="18"/>
    </w:rPr>
  </w:style>
  <w:style w:type="character" w:customStyle="1" w:styleId="19">
    <w:name w:val="页脚 Char"/>
    <w:basedOn w:val="15"/>
    <w:link w:val="11"/>
    <w:semiHidden/>
    <w:qFormat/>
    <w:uiPriority w:val="99"/>
    <w:rPr>
      <w:sz w:val="18"/>
      <w:szCs w:val="18"/>
    </w:rPr>
  </w:style>
  <w:style w:type="character" w:customStyle="1" w:styleId="20">
    <w:name w:val="标题 1 Char"/>
    <w:basedOn w:val="15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1">
    <w:name w:val="标题 2 Char"/>
    <w:basedOn w:val="15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22">
    <w:name w:val="标题 3 Char"/>
    <w:basedOn w:val="15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3">
    <w:name w:val="标题 4 Char"/>
    <w:basedOn w:val="15"/>
    <w:link w:val="5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4">
    <w:name w:val="标题 5 Char"/>
    <w:basedOn w:val="15"/>
    <w:link w:val="6"/>
    <w:qFormat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5">
    <w:name w:val="标题 6 Char"/>
    <w:basedOn w:val="15"/>
    <w:link w:val="7"/>
    <w:qFormat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6">
    <w:name w:val="标题 7 Char"/>
    <w:basedOn w:val="15"/>
    <w:link w:val="8"/>
    <w:qFormat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7">
    <w:name w:val="标题 8 Char"/>
    <w:basedOn w:val="15"/>
    <w:link w:val="9"/>
    <w:qFormat/>
    <w:uiPriority w:val="0"/>
    <w:rPr>
      <w:rFonts w:ascii="Arial" w:hAnsi="Arial" w:eastAsia="黑体" w:cs="Times New Roman"/>
      <w:sz w:val="24"/>
      <w:szCs w:val="24"/>
    </w:rPr>
  </w:style>
  <w:style w:type="character" w:customStyle="1" w:styleId="28">
    <w:name w:val="标题 9 Char"/>
    <w:basedOn w:val="15"/>
    <w:link w:val="10"/>
    <w:qFormat/>
    <w:uiPriority w:val="0"/>
    <w:rPr>
      <w:rFonts w:ascii="Arial" w:hAnsi="Arial" w:eastAsia="黑体" w:cs="Times New Roman"/>
      <w:szCs w:val="21"/>
    </w:rPr>
  </w:style>
  <w:style w:type="paragraph" w:customStyle="1" w:styleId="29">
    <w:name w:val="Table Paragraph"/>
    <w:basedOn w:val="1"/>
    <w:qFormat/>
    <w:uiPriority w:val="1"/>
    <w:rPr>
      <w:rFonts w:ascii="宋体" w:hAnsi="宋体" w:eastAsia="宋体" w:cs="宋体"/>
      <w:szCs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1180</Words>
  <Characters>1279</Characters>
  <Lines>34</Lines>
  <Paragraphs>9</Paragraphs>
  <TotalTime>2</TotalTime>
  <ScaleCrop>false</ScaleCrop>
  <LinksUpToDate>false</LinksUpToDate>
  <CharactersWithSpaces>1322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2021-08-21T13:00:00Z</dcterms:created>
  <dc:creator>DISK2021</dc:creator>
  <cp:lastModifiedBy>鸿</cp:lastModifiedBy>
  <dcterms:modified xsi:type="dcterms:W3CDTF">2024-04-26T00:28:12Z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9E72899FCF6C4729BB0804D8E91BF069_13</vt:lpwstr>
  </property>
</Properties>
</file>