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教育督导经费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专项资金</w:t>
      </w:r>
      <w:r>
        <w:rPr>
          <w:rFonts w:ascii="黑体" w:hAnsi="黑体" w:eastAsia="黑体"/>
          <w:sz w:val="44"/>
          <w:szCs w:val="44"/>
        </w:rPr>
        <w:t>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年度教育督导经费专项资金绩效评价，现将自评结果报告如下：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教育督导经费</w:t>
      </w:r>
      <w:r>
        <w:rPr>
          <w:rFonts w:hint="eastAsia" w:ascii="仿宋" w:hAnsi="仿宋" w:eastAsia="仿宋"/>
          <w:sz w:val="32"/>
          <w:szCs w:val="32"/>
        </w:rPr>
        <w:t>专项资金共计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sz w:val="32"/>
          <w:szCs w:val="32"/>
        </w:rPr>
        <w:t>万元，全部用于</w:t>
      </w:r>
      <w:r>
        <w:rPr>
          <w:rFonts w:hint="eastAsia" w:ascii="仿宋" w:hAnsi="仿宋" w:eastAsia="仿宋"/>
          <w:sz w:val="32"/>
          <w:szCs w:val="32"/>
          <w:lang w:eastAsia="zh-CN"/>
        </w:rPr>
        <w:t>教育督导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工作的开展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确保</w:t>
      </w:r>
      <w:r>
        <w:rPr>
          <w:rFonts w:hint="eastAsia" w:ascii="仿宋" w:hAnsi="仿宋" w:eastAsia="仿宋"/>
          <w:sz w:val="32"/>
          <w:szCs w:val="32"/>
        </w:rPr>
        <w:t>深化教育改革，推进教育公平，发展素质教育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,年度</w:t>
      </w:r>
      <w:r>
        <w:rPr>
          <w:rFonts w:hint="eastAsia" w:ascii="仿宋" w:hAnsi="仿宋" w:eastAsia="仿宋"/>
          <w:sz w:val="32"/>
          <w:szCs w:val="32"/>
        </w:rPr>
        <w:t>全县绩效考核和全市教育考核工作进入优秀行列。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教育督导经费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预算安排16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540" w:lineRule="exact"/>
        <w:ind w:firstLine="64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教育督导经费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实际使用16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全部用于</w:t>
      </w:r>
      <w:r>
        <w:rPr>
          <w:rFonts w:hint="eastAsia" w:ascii="仿宋" w:hAnsi="仿宋" w:eastAsia="仿宋"/>
          <w:sz w:val="30"/>
          <w:szCs w:val="30"/>
          <w:lang w:eastAsia="zh-CN"/>
        </w:rPr>
        <w:t>教育督导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工作的开展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教育督导经费</w:t>
      </w:r>
      <w:r>
        <w:rPr>
          <w:rFonts w:hint="eastAsia" w:ascii="仿宋" w:hAnsi="仿宋" w:eastAsia="仿宋" w:cs="仿宋"/>
          <w:sz w:val="32"/>
          <w:szCs w:val="32"/>
        </w:rPr>
        <w:t>专项资金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 xml:space="preserve"> 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据实</w:t>
      </w:r>
      <w:r>
        <w:rPr>
          <w:rFonts w:hint="eastAsia" w:ascii="仿宋" w:hAnsi="仿宋" w:eastAsia="仿宋" w:cs="仿宋"/>
          <w:sz w:val="32"/>
          <w:szCs w:val="32"/>
        </w:rPr>
        <w:t>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16万元。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教育督导经费</w:t>
      </w:r>
      <w:r>
        <w:rPr>
          <w:rFonts w:hint="eastAsia" w:ascii="仿宋" w:hAnsi="仿宋" w:eastAsia="仿宋" w:cs="仿宋"/>
          <w:sz w:val="32"/>
          <w:szCs w:val="32"/>
        </w:rPr>
        <w:t>专项资金专款专用、专帐管理，按照财务管理制度支付，由靖州县财政国库集中支付局集中支付，最大程度上避免了违规情况发生。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教育督导经费</w:t>
      </w:r>
      <w:r>
        <w:rPr>
          <w:rFonts w:hint="eastAsia" w:ascii="仿宋" w:hAnsi="仿宋" w:eastAsia="仿宋" w:cs="仿宋"/>
          <w:sz w:val="32"/>
          <w:szCs w:val="32"/>
        </w:rPr>
        <w:t>专项资金主要由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督导室</w:t>
      </w:r>
      <w:r>
        <w:rPr>
          <w:rFonts w:hint="eastAsia" w:ascii="仿宋" w:hAnsi="仿宋" w:eastAsia="仿宋" w:cs="仿宋"/>
          <w:sz w:val="32"/>
          <w:szCs w:val="32"/>
        </w:rPr>
        <w:t>根据当年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督导年度工作任务，合理进行安排，稳步进行各项督导工作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教育督导经费</w:t>
      </w:r>
      <w:r>
        <w:rPr>
          <w:rFonts w:hint="eastAsia" w:ascii="仿宋" w:hAnsi="仿宋" w:eastAsia="仿宋" w:cs="仿宋"/>
          <w:sz w:val="32"/>
          <w:szCs w:val="32"/>
        </w:rPr>
        <w:t>专项资金支出取得了良好的成效，完成了预期建设目标任务。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全县督导工作</w:t>
      </w:r>
      <w:r>
        <w:rPr>
          <w:rFonts w:hint="eastAsia" w:ascii="仿宋" w:hAnsi="仿宋" w:eastAsia="仿宋" w:cs="仿宋"/>
          <w:sz w:val="32"/>
          <w:szCs w:val="32"/>
        </w:rPr>
        <w:t>得到了有效保证，受到了社会广泛的好评。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项目责任到人，从计划制定、审批、付款等各个程序专人负责、严格把关，严格按国家政策和省、市政策法规办事、手续齐全。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五</w:t>
      </w:r>
      <w:r>
        <w:rPr>
          <w:rFonts w:ascii="Calibri" w:hAnsi="Calibri" w:eastAsia="黑体" w:cs="Times New Roman"/>
          <w:sz w:val="30"/>
          <w:szCs w:val="30"/>
        </w:rPr>
        <w:t>、有关建议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希望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持续或</w:t>
      </w:r>
      <w:r>
        <w:rPr>
          <w:rFonts w:hint="eastAsia" w:ascii="仿宋" w:hAnsi="仿宋" w:eastAsia="仿宋" w:cs="Times New Roman"/>
          <w:sz w:val="30"/>
          <w:szCs w:val="30"/>
        </w:rPr>
        <w:t>提高对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教育督导经费</w:t>
      </w:r>
      <w:r>
        <w:rPr>
          <w:rFonts w:hint="eastAsia" w:ascii="仿宋" w:hAnsi="仿宋" w:eastAsia="仿宋" w:cs="Times New Roman"/>
          <w:sz w:val="30"/>
          <w:szCs w:val="30"/>
        </w:rPr>
        <w:t>的投入。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附件3</w:t>
      </w:r>
    </w:p>
    <w:p>
      <w:pPr>
        <w:pStyle w:val="29"/>
        <w:spacing w:before="57"/>
        <w:ind w:left="331"/>
        <w:jc w:val="center"/>
        <w:rPr>
          <w:rFonts w:hint="eastAsia"/>
          <w:sz w:val="1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  <w:lang w:eastAsia="zh-CN"/>
        </w:rPr>
        <w:t>项目支出绩效自评表</w:t>
      </w:r>
    </w:p>
    <w:p>
      <w:pPr>
        <w:pStyle w:val="29"/>
        <w:spacing w:before="57"/>
        <w:ind w:left="331"/>
        <w:jc w:val="center"/>
        <w:rPr>
          <w:rFonts w:hint="eastAsia"/>
          <w:sz w:val="22"/>
          <w:szCs w:val="32"/>
          <w:lang w:eastAsia="zh-CN"/>
        </w:rPr>
      </w:pPr>
      <w:r>
        <w:rPr>
          <w:rFonts w:hint="eastAsia"/>
          <w:sz w:val="22"/>
          <w:szCs w:val="32"/>
          <w:lang w:eastAsia="zh-CN"/>
        </w:rPr>
        <w:t>（</w:t>
      </w:r>
      <w:r>
        <w:rPr>
          <w:rFonts w:hint="eastAsia"/>
          <w:sz w:val="22"/>
          <w:szCs w:val="32"/>
          <w:lang w:val="en-US" w:eastAsia="zh-CN"/>
        </w:rPr>
        <w:t>2023年度</w:t>
      </w:r>
      <w:r>
        <w:rPr>
          <w:rFonts w:hint="eastAsia"/>
          <w:sz w:val="22"/>
          <w:szCs w:val="32"/>
          <w:lang w:eastAsia="zh-CN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299"/>
        <w:gridCol w:w="312"/>
        <w:gridCol w:w="888"/>
        <w:gridCol w:w="1081"/>
        <w:gridCol w:w="51"/>
        <w:gridCol w:w="593"/>
        <w:gridCol w:w="266"/>
        <w:gridCol w:w="377"/>
        <w:gridCol w:w="469"/>
        <w:gridCol w:w="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right="3327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教育督导经费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4853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教育局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585" w:type="dxa"/>
            <w:gridSpan w:val="5"/>
          </w:tcPr>
          <w:p>
            <w:pPr>
              <w:pStyle w:val="29"/>
              <w:spacing w:line="360" w:lineRule="auto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200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132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299" w:type="dxa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16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16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16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8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before="58" w:line="360" w:lineRule="auto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880" w:type="dxa"/>
          </w:tcPr>
          <w:p>
            <w:pPr>
              <w:pStyle w:val="29"/>
              <w:spacing w:before="58" w:line="360" w:lineRule="auto"/>
              <w:ind w:left="217"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299" w:type="dxa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16</w:t>
            </w:r>
          </w:p>
        </w:tc>
        <w:tc>
          <w:tcPr>
            <w:tcW w:w="1200" w:type="dxa"/>
            <w:gridSpan w:val="2"/>
            <w:vAlign w:val="top"/>
          </w:tcPr>
          <w:p>
            <w:pPr>
              <w:pStyle w:val="29"/>
              <w:spacing w:before="56" w:line="360" w:lineRule="auto"/>
              <w:ind w:left="178" w:leftChars="0" w:right="170" w:rightChars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24"/>
                <w:lang w:val="en-US" w:eastAsia="zh-CN" w:bidi="zh-CN"/>
              </w:rPr>
            </w:pPr>
            <w:r>
              <w:rPr>
                <w:rFonts w:hint="eastAsia"/>
                <w:sz w:val="18"/>
                <w:lang w:val="en-US" w:eastAsia="zh-CN"/>
              </w:rPr>
              <w:t>16</w:t>
            </w:r>
          </w:p>
        </w:tc>
        <w:tc>
          <w:tcPr>
            <w:tcW w:w="1132" w:type="dxa"/>
            <w:gridSpan w:val="2"/>
            <w:vAlign w:val="top"/>
          </w:tcPr>
          <w:p>
            <w:pPr>
              <w:pStyle w:val="29"/>
              <w:spacing w:before="58" w:line="360" w:lineRule="auto"/>
              <w:ind w:left="178" w:leftChars="0" w:right="170" w:rightChars="0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16</w:t>
            </w: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46" w:type="dxa"/>
            <w:gridSpan w:val="2"/>
          </w:tcPr>
          <w:p>
            <w:pPr>
              <w:pStyle w:val="29"/>
              <w:spacing w:before="56" w:line="360" w:lineRule="auto"/>
              <w:ind w:left="302"/>
              <w:rPr>
                <w:rFonts w:hint="default" w:eastAsia="宋体"/>
                <w:sz w:val="18"/>
                <w:lang w:val="en-US" w:eastAsia="zh-CN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299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846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80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736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717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6" w:type="dxa"/>
            <w:gridSpan w:val="7"/>
            <w:vAlign w:val="center"/>
          </w:tcPr>
          <w:p>
            <w:pPr>
              <w:pStyle w:val="29"/>
              <w:jc w:val="center"/>
              <w:rPr>
                <w:rFonts w:ascii="Times New Roman"/>
                <w:sz w:val="15"/>
                <w:szCs w:val="21"/>
              </w:rPr>
            </w:pPr>
          </w:p>
          <w:p>
            <w:pPr>
              <w:pStyle w:val="29"/>
              <w:spacing w:line="249" w:lineRule="auto"/>
              <w:ind w:left="108" w:right="96"/>
              <w:jc w:val="center"/>
              <w:rPr>
                <w:sz w:val="15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全县绩效考核和全市教育考核工作进入优秀行列</w:t>
            </w:r>
          </w:p>
        </w:tc>
        <w:tc>
          <w:tcPr>
            <w:tcW w:w="3717" w:type="dxa"/>
            <w:gridSpan w:val="7"/>
            <w:vAlign w:val="center"/>
          </w:tcPr>
          <w:p>
            <w:pPr>
              <w:pStyle w:val="29"/>
              <w:spacing w:before="12" w:line="249" w:lineRule="auto"/>
              <w:ind w:left="107" w:right="6"/>
              <w:jc w:val="center"/>
              <w:rPr>
                <w:rFonts w:hint="default" w:eastAsia="宋体"/>
                <w:sz w:val="15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5"/>
                <w:lang w:val="en-US" w:eastAsia="zh-CN"/>
              </w:rPr>
              <w:t>全部完成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jc w:val="both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60"/>
              <w:ind w:firstLine="360" w:firstLineChars="200"/>
              <w:jc w:val="center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三级指标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31" w:line="240" w:lineRule="atLeast"/>
              <w:ind w:right="257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60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4"/>
              </w:rPr>
            </w:pPr>
          </w:p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督导</w:t>
            </w:r>
            <w:r>
              <w:rPr>
                <w:rFonts w:hint="eastAsia"/>
                <w:sz w:val="18"/>
                <w:lang w:val="en-US" w:eastAsia="zh-CN"/>
              </w:rPr>
              <w:t>工作完成率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42"/>
              <w:jc w:val="center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督导问题整改及时率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tabs>
                <w:tab w:val="left" w:pos="265"/>
              </w:tabs>
              <w:ind w:left="396"/>
              <w:jc w:val="both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完成及时性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2023年12月31日前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完成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项目支出成本节约率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≥0%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restart"/>
            <w:vAlign w:val="center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  <w:jc w:val="center"/>
        </w:trPr>
        <w:tc>
          <w:tcPr>
            <w:tcW w:w="504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06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教育督导经费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≤</w:t>
            </w:r>
            <w:r>
              <w:rPr>
                <w:sz w:val="18"/>
              </w:rPr>
              <w:t>16</w:t>
            </w:r>
            <w:r>
              <w:rPr>
                <w:rFonts w:hint="eastAsia"/>
                <w:sz w:val="18"/>
              </w:rPr>
              <w:t>万元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16万元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line="324" w:lineRule="auto"/>
              <w:ind w:right="159"/>
              <w:jc w:val="both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保障教育督导工作正常开展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有效保障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持续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55"/>
              <w:jc w:val="center"/>
              <w:rPr>
                <w:sz w:val="18"/>
              </w:rPr>
            </w:pPr>
            <w:r>
              <w:rPr>
                <w:sz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不适用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hint="eastAsia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促进教育优质均衡持续发展　</w:t>
            </w:r>
          </w:p>
        </w:tc>
        <w:tc>
          <w:tcPr>
            <w:tcW w:w="888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</w:rPr>
              <w:t>县域教育质量国家</w:t>
            </w:r>
            <w:r>
              <w:rPr>
                <w:sz w:val="18"/>
              </w:rPr>
              <w:t>3</w:t>
            </w:r>
            <w:r>
              <w:rPr>
                <w:rFonts w:hint="eastAsia"/>
                <w:sz w:val="18"/>
              </w:rPr>
              <w:t>级水平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提升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38" w:line="324" w:lineRule="auto"/>
              <w:ind w:right="115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宋体" w:hAnsiTheme="minorHAnsi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师生满意度</w:t>
            </w:r>
          </w:p>
        </w:tc>
        <w:tc>
          <w:tcPr>
            <w:tcW w:w="88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eastAsia="宋体" w:hAnsiTheme="minorHAnsi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kern w:val="0"/>
                <w:sz w:val="24"/>
                <w:szCs w:val="24"/>
                <w:lang w:val="en-US" w:eastAsia="zh-CN"/>
              </w:rPr>
              <w:t>&gt;90%</w:t>
            </w:r>
          </w:p>
        </w:tc>
        <w:tc>
          <w:tcPr>
            <w:tcW w:w="1081" w:type="dxa"/>
            <w:vAlign w:val="center"/>
          </w:tcPr>
          <w:p>
            <w:pPr>
              <w:pStyle w:val="29"/>
              <w:ind w:left="245" w:right="234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ind w:left="213" w:right="20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pStyle w:val="29"/>
              <w:ind w:right="345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 xml:space="preserve">                                      </w:t>
            </w:r>
            <w:r>
              <w:rPr>
                <w:sz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90</w:t>
            </w:r>
          </w:p>
        </w:tc>
        <w:tc>
          <w:tcPr>
            <w:tcW w:w="1349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separate"/>
    </w:r>
    <w:r>
      <w:rPr>
        <w:rStyle w:val="16"/>
      </w:rPr>
      <w:t>9</w:t>
    </w:r>
    <w:r>
      <w:rPr>
        <w:rStyle w:val="16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16"/>
      </w:rPr>
    </w:pPr>
    <w:r>
      <w:rPr>
        <w:rStyle w:val="16"/>
      </w:rPr>
      <w:fldChar w:fldCharType="begin"/>
    </w:r>
    <w:r>
      <w:rPr>
        <w:rStyle w:val="16"/>
      </w:rPr>
      <w:instrText xml:space="preserve">PAGE  </w:instrText>
    </w:r>
    <w:r>
      <w:rPr>
        <w:rStyle w:val="16"/>
      </w:rPr>
      <w:fldChar w:fldCharType="end"/>
    </w:r>
  </w:p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4254B"/>
    <w:multiLevelType w:val="multilevel"/>
    <w:tmpl w:val="1F44254B"/>
    <w:lvl w:ilvl="0" w:tentative="0">
      <w:start w:val="2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ascii="Times New Roman" w:hAnsi="Times New Roman" w:eastAsia="Times New Roman"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NmY5YTE4ZjA5YmIzYzEzNDI0MmEzZWFlMGVjMjYifQ=="/>
  </w:docVars>
  <w:rsids>
    <w:rsidRoot w:val="00D66BE1"/>
    <w:rsid w:val="00112792"/>
    <w:rsid w:val="001D44E0"/>
    <w:rsid w:val="00283F49"/>
    <w:rsid w:val="002C6E41"/>
    <w:rsid w:val="002D57D3"/>
    <w:rsid w:val="004B53BA"/>
    <w:rsid w:val="006A67ED"/>
    <w:rsid w:val="00725C1C"/>
    <w:rsid w:val="007A38D4"/>
    <w:rsid w:val="007D2271"/>
    <w:rsid w:val="00840FE0"/>
    <w:rsid w:val="008A17BE"/>
    <w:rsid w:val="008A3C3B"/>
    <w:rsid w:val="0093692F"/>
    <w:rsid w:val="00B50C36"/>
    <w:rsid w:val="00CD6758"/>
    <w:rsid w:val="00D66BE1"/>
    <w:rsid w:val="00E851C0"/>
    <w:rsid w:val="00F65908"/>
    <w:rsid w:val="134944E1"/>
    <w:rsid w:val="15DB2100"/>
    <w:rsid w:val="17570264"/>
    <w:rsid w:val="1CF00461"/>
    <w:rsid w:val="201F5E38"/>
    <w:rsid w:val="454769F8"/>
    <w:rsid w:val="46B95F63"/>
    <w:rsid w:val="49E87853"/>
    <w:rsid w:val="4C2D08FA"/>
    <w:rsid w:val="50C34894"/>
    <w:rsid w:val="58DC0F79"/>
    <w:rsid w:val="5DE02C75"/>
    <w:rsid w:val="5FED70B0"/>
    <w:rsid w:val="632A50F1"/>
    <w:rsid w:val="6683763C"/>
    <w:rsid w:val="67A1421E"/>
    <w:rsid w:val="6952105C"/>
    <w:rsid w:val="6E0F09AF"/>
    <w:rsid w:val="75040CD6"/>
    <w:rsid w:val="79D90A57"/>
    <w:rsid w:val="7C372D18"/>
    <w:rsid w:val="7D28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autoRedefine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autoRedefine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autoRedefine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autoRedefine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autoRedefine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autoRedefine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basedOn w:val="15"/>
    <w:autoRedefine/>
    <w:qFormat/>
    <w:uiPriority w:val="0"/>
  </w:style>
  <w:style w:type="character" w:styleId="17">
    <w:name w:val="Hyperlink"/>
    <w:autoRedefine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autoRedefine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autoRedefine/>
    <w:semiHidden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autoRedefine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autoRedefine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autoRedefine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autoRedefine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autoRedefine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autoRedefine/>
    <w:qFormat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autoRedefine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autoRedefine/>
    <w:qFormat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autoRedefine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1078</Words>
  <Characters>1145</Characters>
  <Lines>34</Lines>
  <Paragraphs>9</Paragraphs>
  <TotalTime>1</TotalTime>
  <ScaleCrop>false</ScaleCrop>
  <LinksUpToDate>false</LinksUpToDate>
  <CharactersWithSpaces>1187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2021-08-21T13:00:00Z</dcterms:created>
  <dc:creator>DISK2021</dc:creator>
  <cp:lastModifiedBy>鸿</cp:lastModifiedBy>
  <dcterms:modified xsi:type="dcterms:W3CDTF">2024-04-26T00:25:32Z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EDB98FCB3BEA43259D61D5FA73A488BB_13</vt:lpwstr>
  </property>
</Properties>
</file>