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50" w:lineRule="atLeast"/>
        <w:jc w:val="center"/>
        <w:rPr>
          <w:rFonts w:ascii="宋体" w:hAnsi="宋体" w:cs="Tahoma"/>
          <w:b/>
          <w:bCs/>
          <w:color w:val="333333"/>
          <w:kern w:val="0"/>
          <w:sz w:val="44"/>
          <w:szCs w:val="44"/>
        </w:rPr>
      </w:pPr>
      <w:r>
        <w:rPr>
          <w:rFonts w:hint="eastAsia" w:ascii="宋体" w:hAnsi="宋体" w:cs="Tahoma"/>
          <w:b/>
          <w:bCs/>
          <w:color w:val="333333"/>
          <w:kern w:val="0"/>
          <w:sz w:val="44"/>
          <w:szCs w:val="44"/>
        </w:rPr>
        <w:t>靖州县民政局20</w:t>
      </w:r>
      <w:r>
        <w:rPr>
          <w:rFonts w:hint="eastAsia" w:ascii="宋体" w:hAnsi="宋体" w:cs="Tahoma"/>
          <w:b/>
          <w:bCs/>
          <w:color w:val="333333"/>
          <w:kern w:val="0"/>
          <w:sz w:val="44"/>
          <w:szCs w:val="44"/>
          <w:lang w:val="en-US" w:eastAsia="zh-CN"/>
        </w:rPr>
        <w:t>22</w:t>
      </w:r>
      <w:r>
        <w:rPr>
          <w:rFonts w:hint="eastAsia" w:ascii="宋体" w:hAnsi="宋体" w:cs="Tahoma"/>
          <w:b/>
          <w:bCs/>
          <w:color w:val="333333"/>
          <w:kern w:val="0"/>
          <w:sz w:val="44"/>
          <w:szCs w:val="44"/>
        </w:rPr>
        <w:t>年残疾人两项补贴项目资金绩效评价报告</w:t>
      </w:r>
    </w:p>
    <w:p>
      <w:pPr>
        <w:widowControl/>
        <w:shd w:val="clear" w:color="auto" w:fill="FFFFFF"/>
        <w:spacing w:before="100" w:beforeAutospacing="1" w:after="100" w:afterAutospacing="1" w:line="450" w:lineRule="atLeast"/>
        <w:jc w:val="center"/>
        <w:rPr>
          <w:rFonts w:hint="eastAsia" w:ascii="宋体" w:hAnsi="宋体" w:cs="Tahoma"/>
          <w:b/>
          <w:bCs/>
          <w:color w:val="333333"/>
          <w:kern w:val="0"/>
          <w:sz w:val="44"/>
          <w:szCs w:val="44"/>
        </w:rPr>
      </w:pPr>
      <w:r>
        <w:rPr>
          <w:rFonts w:hint="eastAsia" w:ascii="宋体" w:hAnsi="宋体" w:cs="Tahoma"/>
          <w:b/>
          <w:bCs/>
          <w:color w:val="333333"/>
          <w:kern w:val="0"/>
          <w:sz w:val="44"/>
          <w:szCs w:val="44"/>
        </w:rPr>
        <w:t xml:space="preserve"> </w:t>
      </w:r>
    </w:p>
    <w:p>
      <w:pPr>
        <w:pStyle w:val="2"/>
        <w:shd w:val="clear" w:color="auto" w:fill="FFFFFF"/>
        <w:autoSpaceDE w:val="0"/>
        <w:spacing w:before="0" w:beforeAutospacing="0" w:after="0" w:afterAutospacing="0"/>
        <w:ind w:firstLine="600" w:firstLineChars="200"/>
        <w:rPr>
          <w:rFonts w:hint="eastAsia" w:ascii="仿宋_GB2312" w:hAnsi="微软雅黑" w:eastAsia="仿宋_GB2312" w:cs="宋体"/>
          <w:color w:val="000000"/>
          <w:kern w:val="0"/>
          <w:sz w:val="30"/>
          <w:szCs w:val="30"/>
          <w:highlight w:val="none"/>
        </w:rPr>
      </w:pPr>
      <w:r>
        <w:rPr>
          <w:rFonts w:hint="eastAsia" w:ascii="仿宋_GB2312" w:hAnsi="微软雅黑" w:eastAsia="仿宋_GB2312" w:cs="宋体"/>
          <w:color w:val="000000"/>
          <w:kern w:val="0"/>
          <w:sz w:val="30"/>
          <w:szCs w:val="30"/>
          <w:highlight w:val="none"/>
        </w:rPr>
        <w:t>为了进一步规范财政资金管理，强化部门责任意识，切实提高财政资金使用效益。根据靖州县《</w:t>
      </w:r>
      <w:r>
        <w:rPr>
          <w:rFonts w:hint="eastAsia" w:ascii="仿宋_GB2312" w:eastAsia="仿宋_GB2312"/>
          <w:sz w:val="30"/>
          <w:szCs w:val="30"/>
          <w:highlight w:val="none"/>
        </w:rPr>
        <w:t>关于开展20</w:t>
      </w:r>
      <w:r>
        <w:rPr>
          <w:rFonts w:hint="eastAsia" w:ascii="仿宋_GB2312" w:eastAsia="仿宋_GB2312"/>
          <w:sz w:val="30"/>
          <w:szCs w:val="30"/>
          <w:highlight w:val="none"/>
          <w:lang w:val="en-US" w:eastAsia="zh-CN"/>
        </w:rPr>
        <w:t>22</w:t>
      </w:r>
      <w:r>
        <w:rPr>
          <w:rFonts w:hint="eastAsia" w:ascii="仿宋_GB2312" w:eastAsia="仿宋_GB2312"/>
          <w:sz w:val="30"/>
          <w:szCs w:val="30"/>
          <w:highlight w:val="none"/>
        </w:rPr>
        <w:t>年度专项资金绩效自评工作的通知》</w:t>
      </w:r>
      <w:r>
        <w:rPr>
          <w:rFonts w:hint="eastAsia" w:ascii="仿宋_GB2312" w:hAnsi="微软雅黑" w:eastAsia="仿宋_GB2312" w:cs="宋体"/>
          <w:color w:val="000000"/>
          <w:kern w:val="0"/>
          <w:sz w:val="30"/>
          <w:szCs w:val="30"/>
          <w:highlight w:val="none"/>
        </w:rPr>
        <w:t>有关要求，</w:t>
      </w:r>
      <w:r>
        <w:rPr>
          <w:rFonts w:hint="eastAsia" w:ascii="仿宋_GB2312" w:hAnsi="微软雅黑" w:eastAsia="仿宋_GB2312" w:cs="宋体"/>
          <w:color w:val="000000"/>
          <w:kern w:val="0"/>
          <w:sz w:val="30"/>
          <w:szCs w:val="30"/>
          <w:highlight w:val="none"/>
          <w:lang w:eastAsia="zh-CN"/>
        </w:rPr>
        <w:t>我</w:t>
      </w:r>
      <w:r>
        <w:rPr>
          <w:rFonts w:hint="eastAsia" w:ascii="仿宋_GB2312" w:hAnsi="微软雅黑" w:eastAsia="仿宋_GB2312" w:cs="宋体"/>
          <w:color w:val="000000"/>
          <w:kern w:val="0"/>
          <w:sz w:val="30"/>
          <w:szCs w:val="30"/>
          <w:highlight w:val="none"/>
        </w:rPr>
        <w:t>局</w:t>
      </w:r>
      <w:r>
        <w:rPr>
          <w:rFonts w:hint="eastAsia" w:ascii="仿宋_GB2312" w:hAnsi="微软雅黑" w:eastAsia="仿宋_GB2312" w:cs="宋体"/>
          <w:color w:val="000000"/>
          <w:kern w:val="0"/>
          <w:sz w:val="30"/>
          <w:szCs w:val="30"/>
          <w:highlight w:val="none"/>
          <w:lang w:eastAsia="zh-CN"/>
        </w:rPr>
        <w:t>对</w:t>
      </w:r>
      <w:r>
        <w:rPr>
          <w:rFonts w:hint="eastAsia" w:ascii="仿宋_GB2312" w:hAnsi="微软雅黑" w:eastAsia="仿宋_GB2312" w:cs="宋体"/>
          <w:color w:val="000000"/>
          <w:kern w:val="0"/>
          <w:sz w:val="30"/>
          <w:szCs w:val="30"/>
          <w:highlight w:val="none"/>
        </w:rPr>
        <w:t>20</w:t>
      </w:r>
      <w:r>
        <w:rPr>
          <w:rFonts w:hint="eastAsia" w:ascii="仿宋_GB2312" w:hAnsi="微软雅黑" w:eastAsia="仿宋_GB2312" w:cs="宋体"/>
          <w:color w:val="000000"/>
          <w:kern w:val="0"/>
          <w:sz w:val="30"/>
          <w:szCs w:val="30"/>
          <w:highlight w:val="none"/>
          <w:lang w:val="en-US" w:eastAsia="zh-CN"/>
        </w:rPr>
        <w:t>22</w:t>
      </w:r>
      <w:r>
        <w:rPr>
          <w:rFonts w:hint="eastAsia" w:ascii="仿宋_GB2312" w:hAnsi="微软雅黑" w:eastAsia="仿宋_GB2312" w:cs="宋体"/>
          <w:color w:val="000000"/>
          <w:kern w:val="0"/>
          <w:sz w:val="30"/>
          <w:szCs w:val="30"/>
          <w:highlight w:val="none"/>
        </w:rPr>
        <w:t>年度</w:t>
      </w:r>
      <w:r>
        <w:rPr>
          <w:rFonts w:hint="eastAsia" w:ascii="仿宋_GB2312" w:hAnsi="微软雅黑" w:eastAsia="仿宋_GB2312" w:cs="宋体"/>
          <w:color w:val="000000"/>
          <w:kern w:val="0"/>
          <w:sz w:val="30"/>
          <w:szCs w:val="30"/>
          <w:highlight w:val="none"/>
          <w:lang w:eastAsia="zh-CN"/>
        </w:rPr>
        <w:t>残疾人两项补贴</w:t>
      </w:r>
      <w:r>
        <w:rPr>
          <w:rFonts w:hint="eastAsia" w:ascii="仿宋_GB2312" w:hAnsi="微软雅黑" w:eastAsia="仿宋_GB2312" w:cs="宋体"/>
          <w:color w:val="000000"/>
          <w:kern w:val="0"/>
          <w:sz w:val="30"/>
          <w:szCs w:val="30"/>
          <w:highlight w:val="none"/>
        </w:rPr>
        <w:t>专项资金开展绩效评价自评</w:t>
      </w:r>
    </w:p>
    <w:p>
      <w:pPr>
        <w:pStyle w:val="2"/>
        <w:shd w:val="clear" w:color="auto" w:fill="FFFFFF"/>
        <w:autoSpaceDE w:val="0"/>
        <w:spacing w:before="0" w:beforeAutospacing="0" w:after="0" w:afterAutospacing="0"/>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一、</w:t>
      </w:r>
      <w:r>
        <w:rPr>
          <w:rFonts w:hint="eastAsia" w:ascii="仿宋_GB2312" w:eastAsia="仿宋_GB2312"/>
          <w:b/>
          <w:bCs/>
          <w:sz w:val="32"/>
          <w:szCs w:val="32"/>
          <w:highlight w:val="none"/>
          <w:lang w:val="en-US" w:eastAsia="zh-CN"/>
        </w:rPr>
        <w:t>项目</w:t>
      </w:r>
      <w:r>
        <w:rPr>
          <w:rFonts w:hint="eastAsia" w:ascii="仿宋_GB2312" w:eastAsia="仿宋_GB2312"/>
          <w:b/>
          <w:bCs/>
          <w:sz w:val="32"/>
          <w:szCs w:val="32"/>
          <w:highlight w:val="none"/>
        </w:rPr>
        <w:t>基本情况</w:t>
      </w:r>
    </w:p>
    <w:p>
      <w:pPr>
        <w:pStyle w:val="2"/>
        <w:autoSpaceDE w:val="0"/>
        <w:spacing w:before="0" w:beforeAutospacing="0" w:after="0" w:afterAutospacing="0"/>
        <w:ind w:firstLine="643" w:firstLineChars="200"/>
        <w:rPr>
          <w:rFonts w:hint="eastAsia" w:ascii="仿宋_GB2312" w:eastAsia="仿宋_GB2312"/>
          <w:b/>
          <w:bCs/>
          <w:color w:val="010101"/>
          <w:sz w:val="32"/>
          <w:szCs w:val="32"/>
          <w:highlight w:val="none"/>
          <w:shd w:val="clear" w:color="auto" w:fill="FFFFFF"/>
        </w:rPr>
      </w:pPr>
      <w:r>
        <w:rPr>
          <w:rFonts w:hint="eastAsia" w:ascii="仿宋_GB2312" w:eastAsia="仿宋_GB2312"/>
          <w:b/>
          <w:bCs/>
          <w:color w:val="010101"/>
          <w:sz w:val="32"/>
          <w:szCs w:val="32"/>
          <w:highlight w:val="none"/>
          <w:shd w:val="clear" w:color="auto" w:fill="FFFFFF"/>
        </w:rPr>
        <w:t>（一）项目概况</w:t>
      </w:r>
    </w:p>
    <w:p>
      <w:pPr>
        <w:widowControl/>
        <w:shd w:val="clear" w:color="auto" w:fill="FFFFFF"/>
        <w:spacing w:line="600" w:lineRule="atLeast"/>
        <w:ind w:firstLine="579" w:firstLineChars="181"/>
        <w:jc w:val="left"/>
        <w:rPr>
          <w:rFonts w:hint="eastAsia" w:ascii="仿宋_GB2312" w:hAnsi="微软雅黑" w:eastAsia="仿宋_GB2312" w:cs="宋体"/>
          <w:color w:val="auto"/>
          <w:kern w:val="0"/>
          <w:sz w:val="32"/>
          <w:szCs w:val="32"/>
          <w:highlight w:val="none"/>
        </w:rPr>
      </w:pPr>
      <w:r>
        <w:rPr>
          <w:rFonts w:hint="eastAsia" w:ascii="仿宋_GB2312" w:hAnsi="微软雅黑" w:eastAsia="仿宋_GB2312" w:cs="宋体"/>
          <w:color w:val="auto"/>
          <w:kern w:val="0"/>
          <w:sz w:val="32"/>
          <w:szCs w:val="32"/>
          <w:highlight w:val="none"/>
        </w:rPr>
        <w:t>残疾人两项补贴包括：重度残疾人护理补贴及困难残疾</w:t>
      </w:r>
      <w:r>
        <w:rPr>
          <w:rFonts w:hint="eastAsia" w:ascii="仿宋_GB2312" w:hAnsi="微软雅黑" w:eastAsia="仿宋_GB2312" w:cs="宋体"/>
          <w:color w:val="auto"/>
          <w:kern w:val="0"/>
          <w:sz w:val="32"/>
          <w:szCs w:val="32"/>
          <w:highlight w:val="none"/>
          <w:lang w:eastAsia="zh-CN"/>
        </w:rPr>
        <w:t>人生活</w:t>
      </w:r>
      <w:r>
        <w:rPr>
          <w:rFonts w:hint="eastAsia" w:ascii="仿宋_GB2312" w:hAnsi="微软雅黑" w:eastAsia="仿宋_GB2312" w:cs="宋体"/>
          <w:color w:val="auto"/>
          <w:kern w:val="0"/>
          <w:sz w:val="32"/>
          <w:szCs w:val="32"/>
          <w:highlight w:val="none"/>
        </w:rPr>
        <w:t>补贴。</w:t>
      </w:r>
      <w:r>
        <w:rPr>
          <w:rFonts w:hint="eastAsia" w:ascii="仿宋_GB2312" w:hAnsi="微软雅黑" w:eastAsia="仿宋_GB2312" w:cs="宋体"/>
          <w:color w:val="auto"/>
          <w:kern w:val="0"/>
          <w:sz w:val="32"/>
          <w:szCs w:val="32"/>
          <w:highlight w:val="none"/>
          <w:lang w:val="en-US" w:eastAsia="zh-CN"/>
        </w:rPr>
        <w:t>2022</w:t>
      </w:r>
      <w:r>
        <w:rPr>
          <w:rFonts w:hint="eastAsia" w:ascii="仿宋_GB2312" w:hAnsi="微软雅黑" w:eastAsia="仿宋_GB2312" w:cs="宋体"/>
          <w:color w:val="auto"/>
          <w:kern w:val="0"/>
          <w:sz w:val="32"/>
          <w:szCs w:val="32"/>
          <w:highlight w:val="none"/>
        </w:rPr>
        <w:t>年我县</w:t>
      </w:r>
      <w:r>
        <w:rPr>
          <w:rFonts w:hint="eastAsia" w:ascii="仿宋_GB2312" w:hAnsi="微软雅黑" w:eastAsia="仿宋_GB2312" w:cs="宋体"/>
          <w:color w:val="auto"/>
          <w:kern w:val="0"/>
          <w:sz w:val="32"/>
          <w:szCs w:val="32"/>
          <w:highlight w:val="none"/>
          <w:lang w:eastAsia="zh-CN"/>
        </w:rPr>
        <w:t>发放</w:t>
      </w:r>
      <w:r>
        <w:rPr>
          <w:rFonts w:hint="eastAsia" w:ascii="仿宋_GB2312" w:hAnsi="微软雅黑" w:eastAsia="仿宋_GB2312" w:cs="宋体"/>
          <w:color w:val="auto"/>
          <w:kern w:val="0"/>
          <w:sz w:val="32"/>
          <w:szCs w:val="32"/>
          <w:highlight w:val="none"/>
        </w:rPr>
        <w:t>重度</w:t>
      </w:r>
      <w:r>
        <w:rPr>
          <w:rFonts w:hint="eastAsia" w:ascii="仿宋_GB2312" w:hAnsi="微软雅黑" w:eastAsia="仿宋_GB2312" w:cs="宋体"/>
          <w:color w:val="auto"/>
          <w:kern w:val="0"/>
          <w:sz w:val="32"/>
          <w:szCs w:val="32"/>
          <w:highlight w:val="none"/>
          <w:lang w:eastAsia="zh-CN"/>
        </w:rPr>
        <w:t>护理</w:t>
      </w:r>
      <w:r>
        <w:rPr>
          <w:rFonts w:hint="eastAsia" w:ascii="仿宋_GB2312" w:hAnsi="微软雅黑" w:eastAsia="仿宋_GB2312" w:cs="宋体"/>
          <w:color w:val="auto"/>
          <w:kern w:val="0"/>
          <w:sz w:val="32"/>
          <w:szCs w:val="32"/>
          <w:highlight w:val="none"/>
        </w:rPr>
        <w:t>补贴共</w:t>
      </w:r>
      <w:r>
        <w:rPr>
          <w:rFonts w:hint="eastAsia" w:ascii="仿宋_GB2312" w:hAnsi="微软雅黑" w:eastAsia="仿宋_GB2312" w:cs="宋体"/>
          <w:color w:val="auto"/>
          <w:kern w:val="0"/>
          <w:sz w:val="32"/>
          <w:szCs w:val="32"/>
          <w:highlight w:val="none"/>
          <w:lang w:val="en-US" w:eastAsia="zh-CN"/>
        </w:rPr>
        <w:t>37270</w:t>
      </w:r>
      <w:r>
        <w:rPr>
          <w:rFonts w:hint="eastAsia" w:ascii="仿宋_GB2312" w:hAnsi="微软雅黑" w:eastAsia="仿宋_GB2312" w:cs="宋体"/>
          <w:color w:val="auto"/>
          <w:kern w:val="0"/>
          <w:sz w:val="32"/>
          <w:szCs w:val="32"/>
          <w:highlight w:val="none"/>
        </w:rPr>
        <w:t>人</w:t>
      </w:r>
      <w:r>
        <w:rPr>
          <w:rFonts w:hint="eastAsia" w:ascii="仿宋_GB2312" w:hAnsi="微软雅黑" w:eastAsia="仿宋_GB2312" w:cs="宋体"/>
          <w:color w:val="auto"/>
          <w:kern w:val="0"/>
          <w:sz w:val="32"/>
          <w:szCs w:val="32"/>
          <w:highlight w:val="none"/>
          <w:lang w:eastAsia="zh-CN"/>
        </w:rPr>
        <w:t>次</w:t>
      </w:r>
      <w:r>
        <w:rPr>
          <w:rFonts w:hint="eastAsia" w:ascii="仿宋_GB2312" w:hAnsi="微软雅黑" w:eastAsia="仿宋_GB2312" w:cs="宋体"/>
          <w:color w:val="auto"/>
          <w:kern w:val="0"/>
          <w:sz w:val="32"/>
          <w:szCs w:val="32"/>
          <w:highlight w:val="none"/>
        </w:rPr>
        <w:t>，</w:t>
      </w:r>
      <w:r>
        <w:rPr>
          <w:rFonts w:hint="eastAsia" w:ascii="仿宋_GB2312" w:hAnsi="微软雅黑" w:eastAsia="仿宋_GB2312" w:cs="宋体"/>
          <w:color w:val="auto"/>
          <w:kern w:val="0"/>
          <w:sz w:val="32"/>
          <w:szCs w:val="32"/>
          <w:highlight w:val="none"/>
          <w:lang w:eastAsia="zh-CN"/>
        </w:rPr>
        <w:t>发放</w:t>
      </w:r>
      <w:r>
        <w:rPr>
          <w:rFonts w:hint="eastAsia" w:ascii="仿宋_GB2312" w:hAnsi="微软雅黑" w:eastAsia="仿宋_GB2312" w:cs="宋体"/>
          <w:color w:val="auto"/>
          <w:kern w:val="0"/>
          <w:sz w:val="32"/>
          <w:szCs w:val="32"/>
          <w:highlight w:val="none"/>
        </w:rPr>
        <w:t>困难残疾</w:t>
      </w:r>
      <w:r>
        <w:rPr>
          <w:rFonts w:hint="eastAsia" w:ascii="仿宋_GB2312" w:hAnsi="微软雅黑" w:eastAsia="仿宋_GB2312" w:cs="宋体"/>
          <w:color w:val="auto"/>
          <w:kern w:val="0"/>
          <w:sz w:val="32"/>
          <w:szCs w:val="32"/>
          <w:highlight w:val="none"/>
          <w:lang w:eastAsia="zh-CN"/>
        </w:rPr>
        <w:t>人</w:t>
      </w:r>
      <w:r>
        <w:rPr>
          <w:rFonts w:hint="eastAsia" w:ascii="仿宋_GB2312" w:hAnsi="微软雅黑" w:eastAsia="仿宋_GB2312" w:cs="宋体"/>
          <w:color w:val="auto"/>
          <w:kern w:val="0"/>
          <w:sz w:val="32"/>
          <w:szCs w:val="32"/>
          <w:highlight w:val="none"/>
        </w:rPr>
        <w:t>生活补贴</w:t>
      </w:r>
      <w:r>
        <w:rPr>
          <w:rFonts w:hint="eastAsia" w:ascii="仿宋_GB2312" w:hAnsi="微软雅黑" w:eastAsia="仿宋_GB2312" w:cs="宋体"/>
          <w:color w:val="auto"/>
          <w:kern w:val="0"/>
          <w:sz w:val="32"/>
          <w:szCs w:val="32"/>
          <w:highlight w:val="none"/>
          <w:lang w:val="en-US" w:eastAsia="zh-CN"/>
        </w:rPr>
        <w:t>24216</w:t>
      </w:r>
      <w:r>
        <w:rPr>
          <w:rFonts w:hint="eastAsia" w:ascii="仿宋_GB2312" w:hAnsi="微软雅黑" w:eastAsia="仿宋_GB2312" w:cs="宋体"/>
          <w:color w:val="auto"/>
          <w:kern w:val="0"/>
          <w:sz w:val="32"/>
          <w:szCs w:val="32"/>
          <w:highlight w:val="none"/>
        </w:rPr>
        <w:t>人</w:t>
      </w:r>
      <w:r>
        <w:rPr>
          <w:rFonts w:hint="eastAsia" w:ascii="仿宋_GB2312" w:hAnsi="微软雅黑" w:eastAsia="仿宋_GB2312" w:cs="宋体"/>
          <w:color w:val="auto"/>
          <w:kern w:val="0"/>
          <w:sz w:val="32"/>
          <w:szCs w:val="32"/>
          <w:highlight w:val="none"/>
          <w:lang w:eastAsia="zh-CN"/>
        </w:rPr>
        <w:t>次</w:t>
      </w:r>
      <w:r>
        <w:rPr>
          <w:rFonts w:hint="eastAsia" w:ascii="仿宋_GB2312" w:hAnsi="微软雅黑" w:eastAsia="仿宋_GB2312" w:cs="宋体"/>
          <w:color w:val="auto"/>
          <w:kern w:val="0"/>
          <w:sz w:val="32"/>
          <w:szCs w:val="32"/>
          <w:highlight w:val="none"/>
        </w:rPr>
        <w:t>，</w:t>
      </w:r>
      <w:r>
        <w:rPr>
          <w:rFonts w:hint="eastAsia" w:ascii="仿宋_GB2312" w:hAnsi="微软雅黑" w:eastAsia="仿宋_GB2312" w:cs="宋体"/>
          <w:color w:val="auto"/>
          <w:kern w:val="0"/>
          <w:sz w:val="32"/>
          <w:szCs w:val="32"/>
          <w:highlight w:val="none"/>
          <w:lang w:eastAsia="zh-CN"/>
        </w:rPr>
        <w:t>补贴标准为</w:t>
      </w:r>
      <w:r>
        <w:rPr>
          <w:rFonts w:hint="eastAsia" w:ascii="仿宋_GB2312" w:hAnsi="微软雅黑" w:eastAsia="仿宋_GB2312" w:cs="宋体"/>
          <w:color w:val="auto"/>
          <w:kern w:val="0"/>
          <w:sz w:val="32"/>
          <w:szCs w:val="32"/>
          <w:highlight w:val="none"/>
        </w:rPr>
        <w:t>每人每月</w:t>
      </w:r>
      <w:r>
        <w:rPr>
          <w:rFonts w:hint="eastAsia" w:ascii="仿宋_GB2312" w:hAnsi="微软雅黑" w:eastAsia="仿宋_GB2312" w:cs="宋体"/>
          <w:color w:val="auto"/>
          <w:kern w:val="0"/>
          <w:sz w:val="32"/>
          <w:szCs w:val="32"/>
          <w:highlight w:val="none"/>
          <w:lang w:val="en-US" w:eastAsia="zh-CN"/>
        </w:rPr>
        <w:t>75</w:t>
      </w:r>
      <w:r>
        <w:rPr>
          <w:rFonts w:hint="eastAsia" w:ascii="仿宋_GB2312" w:hAnsi="微软雅黑" w:eastAsia="仿宋_GB2312" w:cs="宋体"/>
          <w:color w:val="auto"/>
          <w:kern w:val="0"/>
          <w:sz w:val="32"/>
          <w:szCs w:val="32"/>
          <w:highlight w:val="none"/>
        </w:rPr>
        <w:t>元。</w:t>
      </w:r>
    </w:p>
    <w:p>
      <w:pPr>
        <w:widowControl/>
        <w:shd w:val="clear" w:color="auto" w:fill="FFFFFF"/>
        <w:spacing w:line="600" w:lineRule="atLeast"/>
        <w:ind w:firstLine="579" w:firstLineChars="181"/>
        <w:jc w:val="left"/>
        <w:rPr>
          <w:rFonts w:hint="eastAsia" w:ascii="仿宋_GB2312" w:hAnsi="微软雅黑" w:eastAsia="仿宋_GB2312" w:cs="宋体"/>
          <w:color w:val="auto"/>
          <w:kern w:val="0"/>
          <w:sz w:val="32"/>
          <w:szCs w:val="32"/>
          <w:highlight w:val="none"/>
        </w:rPr>
      </w:pPr>
      <w:r>
        <w:rPr>
          <w:rFonts w:hint="eastAsia" w:ascii="仿宋_GB2312" w:eastAsia="仿宋_GB2312"/>
          <w:color w:val="auto"/>
          <w:sz w:val="32"/>
          <w:szCs w:val="32"/>
          <w:highlight w:val="none"/>
          <w:shd w:val="clear" w:color="auto" w:fill="FFFFFF"/>
        </w:rPr>
        <w:t>根据靖</w:t>
      </w:r>
      <w:r>
        <w:rPr>
          <w:rFonts w:hint="eastAsia" w:ascii="仿宋_GB2312" w:eastAsia="仿宋_GB2312"/>
          <w:color w:val="auto"/>
          <w:sz w:val="32"/>
          <w:szCs w:val="32"/>
          <w:highlight w:val="none"/>
          <w:shd w:val="clear" w:color="auto" w:fill="FFFFFF"/>
          <w:lang w:eastAsia="zh-CN"/>
        </w:rPr>
        <w:t>州</w:t>
      </w:r>
      <w:r>
        <w:rPr>
          <w:rFonts w:hint="eastAsia" w:ascii="仿宋_GB2312" w:eastAsia="仿宋_GB2312"/>
          <w:color w:val="auto"/>
          <w:sz w:val="32"/>
          <w:szCs w:val="32"/>
          <w:highlight w:val="none"/>
          <w:shd w:val="clear" w:color="auto" w:fill="FFFFFF"/>
        </w:rPr>
        <w:t>县预算绩效管理工作考核办法文件精神，经县财政局批复，下达</w:t>
      </w:r>
      <w:r>
        <w:rPr>
          <w:rFonts w:hint="eastAsia" w:ascii="仿宋_GB2312" w:eastAsia="仿宋_GB2312"/>
          <w:color w:val="auto"/>
          <w:sz w:val="32"/>
          <w:szCs w:val="32"/>
          <w:highlight w:val="none"/>
          <w:shd w:val="clear" w:color="auto" w:fill="FFFFFF"/>
          <w:lang w:val="en-US" w:eastAsia="zh-CN"/>
        </w:rPr>
        <w:t>2022</w:t>
      </w:r>
      <w:r>
        <w:rPr>
          <w:rFonts w:hint="eastAsia" w:ascii="仿宋_GB2312" w:eastAsia="仿宋_GB2312"/>
          <w:color w:val="auto"/>
          <w:sz w:val="32"/>
          <w:szCs w:val="32"/>
          <w:highlight w:val="none"/>
          <w:shd w:val="clear" w:color="auto" w:fill="FFFFFF"/>
        </w:rPr>
        <w:t>年社会福利专项预算资金共计</w:t>
      </w:r>
      <w:r>
        <w:rPr>
          <w:rFonts w:hint="eastAsia" w:ascii="仿宋_GB2312" w:eastAsia="仿宋_GB2312"/>
          <w:color w:val="auto"/>
          <w:sz w:val="32"/>
          <w:szCs w:val="32"/>
          <w:highlight w:val="none"/>
          <w:shd w:val="clear" w:color="auto" w:fill="FFFFFF"/>
          <w:lang w:val="en-US" w:eastAsia="zh-CN"/>
        </w:rPr>
        <w:t>466.28</w:t>
      </w:r>
      <w:r>
        <w:rPr>
          <w:rFonts w:hint="eastAsia" w:ascii="仿宋_GB2312" w:eastAsia="仿宋_GB2312"/>
          <w:color w:val="auto"/>
          <w:sz w:val="32"/>
          <w:szCs w:val="32"/>
          <w:highlight w:val="none"/>
          <w:shd w:val="clear" w:color="auto" w:fill="FFFFFF"/>
        </w:rPr>
        <w:t>万元，用于</w:t>
      </w:r>
      <w:r>
        <w:rPr>
          <w:rFonts w:hint="eastAsia" w:ascii="仿宋_GB2312" w:eastAsia="仿宋_GB2312"/>
          <w:color w:val="auto"/>
          <w:sz w:val="32"/>
          <w:szCs w:val="32"/>
          <w:highlight w:val="none"/>
          <w:shd w:val="clear" w:color="auto" w:fill="FFFFFF"/>
          <w:lang w:val="en-US" w:eastAsia="zh-CN"/>
        </w:rPr>
        <w:t>2022</w:t>
      </w:r>
      <w:r>
        <w:rPr>
          <w:rFonts w:hint="eastAsia" w:ascii="仿宋_GB2312" w:eastAsia="仿宋_GB2312"/>
          <w:color w:val="auto"/>
          <w:sz w:val="32"/>
          <w:szCs w:val="32"/>
          <w:highlight w:val="none"/>
          <w:shd w:val="clear" w:color="auto" w:fill="FFFFFF"/>
        </w:rPr>
        <w:t>年度的残疾人两项补贴专项支出。</w:t>
      </w:r>
    </w:p>
    <w:p>
      <w:pPr>
        <w:pStyle w:val="2"/>
        <w:autoSpaceDE w:val="0"/>
        <w:spacing w:before="0" w:beforeAutospacing="0" w:after="0" w:afterAutospacing="0"/>
        <w:ind w:firstLine="321" w:firstLineChars="10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rPr>
        <w:t>（二）项目绩效目标</w:t>
      </w:r>
    </w:p>
    <w:p>
      <w:pPr>
        <w:ind w:firstLine="320" w:firstLineChars="100"/>
        <w:rPr>
          <w:rFonts w:hint="eastAsia" w:ascii="仿宋_GB2312" w:eastAsia="仿宋_GB2312"/>
          <w:sz w:val="32"/>
          <w:szCs w:val="32"/>
          <w:highlight w:val="none"/>
        </w:rPr>
      </w:pPr>
      <w:r>
        <w:rPr>
          <w:rFonts w:hint="eastAsia" w:ascii="仿宋_GB2312" w:hAnsi="宋体" w:eastAsia="仿宋_GB2312"/>
          <w:color w:val="333333"/>
          <w:kern w:val="0"/>
          <w:sz w:val="32"/>
          <w:szCs w:val="32"/>
          <w:highlight w:val="none"/>
        </w:rPr>
        <w:t>实施重度残疾人护理补贴制度，主要用于补助重度残疾人维持基本身心健康需要的生活护理和照料支出，提高资金使用效益，进一步改善残疾人生活状况、加快残疾人社会保障和服务体系建设。</w:t>
      </w:r>
    </w:p>
    <w:p>
      <w:pPr>
        <w:pStyle w:val="2"/>
        <w:autoSpaceDE w:val="0"/>
        <w:spacing w:before="0" w:beforeAutospacing="0" w:after="0" w:afterAutospacing="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rPr>
        <w:t>（三）项目实施情况</w:t>
      </w:r>
    </w:p>
    <w:p>
      <w:pPr>
        <w:pStyle w:val="2"/>
        <w:autoSpaceDE w:val="0"/>
        <w:spacing w:before="0" w:beforeAutospacing="0" w:after="0" w:afterAutospacing="0"/>
        <w:ind w:firstLine="640" w:firstLineChars="200"/>
        <w:rPr>
          <w:rFonts w:hint="eastAsia" w:ascii="仿宋_GB2312" w:eastAsia="仿宋_GB2312"/>
          <w:sz w:val="32"/>
          <w:szCs w:val="32"/>
          <w:highlight w:val="none"/>
        </w:rPr>
      </w:pPr>
      <w:r>
        <w:rPr>
          <w:rFonts w:hint="eastAsia" w:ascii="仿宋_GB2312" w:eastAsia="仿宋_GB2312"/>
          <w:color w:val="010101"/>
          <w:sz w:val="32"/>
          <w:szCs w:val="32"/>
          <w:highlight w:val="none"/>
          <w:shd w:val="clear" w:color="auto" w:fill="FFFFFF"/>
        </w:rPr>
        <w:t>1、资金落实及使用情况</w:t>
      </w:r>
    </w:p>
    <w:p>
      <w:pPr>
        <w:pStyle w:val="2"/>
        <w:autoSpaceDE w:val="0"/>
        <w:spacing w:before="0" w:beforeAutospacing="0" w:after="0" w:afterAutospacing="0"/>
        <w:ind w:firstLine="640" w:firstLineChars="200"/>
        <w:rPr>
          <w:rFonts w:hint="eastAsia" w:ascii="仿宋_GB2312" w:eastAsia="仿宋_GB2312"/>
          <w:sz w:val="32"/>
          <w:szCs w:val="32"/>
          <w:highlight w:val="none"/>
        </w:rPr>
      </w:pPr>
      <w:r>
        <w:rPr>
          <w:rFonts w:hint="eastAsia" w:ascii="仿宋_GB2312" w:eastAsia="仿宋_GB2312"/>
          <w:color w:val="010101"/>
          <w:sz w:val="32"/>
          <w:szCs w:val="32"/>
          <w:highlight w:val="none"/>
          <w:shd w:val="clear" w:color="auto" w:fill="FFFFFF"/>
        </w:rPr>
        <w:t>截至20</w:t>
      </w:r>
      <w:r>
        <w:rPr>
          <w:rFonts w:hint="eastAsia" w:ascii="仿宋_GB2312" w:eastAsia="仿宋_GB2312"/>
          <w:color w:val="010101"/>
          <w:sz w:val="32"/>
          <w:szCs w:val="32"/>
          <w:highlight w:val="none"/>
          <w:shd w:val="clear" w:color="auto" w:fill="FFFFFF"/>
          <w:lang w:val="en-US" w:eastAsia="zh-CN"/>
        </w:rPr>
        <w:t>22</w:t>
      </w:r>
      <w:r>
        <w:rPr>
          <w:rFonts w:hint="eastAsia" w:ascii="仿宋_GB2312" w:eastAsia="仿宋_GB2312"/>
          <w:color w:val="010101"/>
          <w:sz w:val="32"/>
          <w:szCs w:val="32"/>
          <w:highlight w:val="none"/>
          <w:shd w:val="clear" w:color="auto" w:fill="FFFFFF"/>
        </w:rPr>
        <w:t>年12月31日，靖州县财政局批复拨付20</w:t>
      </w:r>
      <w:r>
        <w:rPr>
          <w:rFonts w:hint="eastAsia" w:ascii="仿宋_GB2312" w:eastAsia="仿宋_GB2312"/>
          <w:color w:val="010101"/>
          <w:sz w:val="32"/>
          <w:szCs w:val="32"/>
          <w:highlight w:val="none"/>
          <w:shd w:val="clear" w:color="auto" w:fill="FFFFFF"/>
          <w:lang w:val="en-US" w:eastAsia="zh-CN"/>
        </w:rPr>
        <w:t>22</w:t>
      </w:r>
      <w:r>
        <w:rPr>
          <w:rFonts w:hint="eastAsia" w:ascii="仿宋_GB2312" w:eastAsia="仿宋_GB2312"/>
          <w:color w:val="010101"/>
          <w:sz w:val="32"/>
          <w:szCs w:val="32"/>
          <w:highlight w:val="none"/>
          <w:shd w:val="clear" w:color="auto" w:fill="FFFFFF"/>
        </w:rPr>
        <w:t>残疾人两项补贴资金共</w:t>
      </w:r>
      <w:r>
        <w:rPr>
          <w:rFonts w:hint="eastAsia" w:ascii="仿宋_GB2312" w:eastAsia="仿宋_GB2312"/>
          <w:color w:val="010101"/>
          <w:sz w:val="32"/>
          <w:szCs w:val="32"/>
          <w:highlight w:val="none"/>
          <w:shd w:val="clear" w:color="auto" w:fill="FFFFFF"/>
          <w:lang w:val="en-US" w:eastAsia="zh-CN"/>
        </w:rPr>
        <w:t>466.28</w:t>
      </w:r>
      <w:r>
        <w:rPr>
          <w:rFonts w:hint="eastAsia" w:ascii="仿宋_GB2312" w:eastAsia="仿宋_GB2312"/>
          <w:color w:val="010101"/>
          <w:sz w:val="32"/>
          <w:szCs w:val="32"/>
          <w:highlight w:val="none"/>
          <w:shd w:val="clear" w:color="auto" w:fill="FFFFFF"/>
        </w:rPr>
        <w:t>万元，实际拨付资金与预算相符，项目资金全部到位。截至</w:t>
      </w:r>
      <w:r>
        <w:rPr>
          <w:rFonts w:hint="eastAsia" w:ascii="仿宋_GB2312" w:eastAsia="仿宋_GB2312"/>
          <w:color w:val="010101"/>
          <w:sz w:val="32"/>
          <w:szCs w:val="32"/>
          <w:highlight w:val="none"/>
          <w:shd w:val="clear" w:color="auto" w:fill="FFFFFF"/>
          <w:lang w:val="en-US" w:eastAsia="zh-CN"/>
        </w:rPr>
        <w:t>2022</w:t>
      </w:r>
      <w:r>
        <w:rPr>
          <w:rFonts w:hint="eastAsia" w:ascii="仿宋_GB2312" w:eastAsia="仿宋_GB2312"/>
          <w:color w:val="010101"/>
          <w:sz w:val="32"/>
          <w:szCs w:val="32"/>
          <w:highlight w:val="none"/>
          <w:shd w:val="clear" w:color="auto" w:fill="FFFFFF"/>
        </w:rPr>
        <w:t>年12月31日，专项资金实际使用</w:t>
      </w:r>
      <w:r>
        <w:rPr>
          <w:rFonts w:hint="eastAsia" w:ascii="仿宋_GB2312" w:eastAsia="仿宋_GB2312"/>
          <w:color w:val="010101"/>
          <w:sz w:val="32"/>
          <w:szCs w:val="32"/>
          <w:highlight w:val="none"/>
          <w:shd w:val="clear" w:color="auto" w:fill="FFFFFF"/>
          <w:lang w:val="en-US" w:eastAsia="zh-CN"/>
        </w:rPr>
        <w:t>466.28</w:t>
      </w:r>
      <w:r>
        <w:rPr>
          <w:rFonts w:hint="eastAsia" w:ascii="仿宋_GB2312" w:eastAsia="仿宋_GB2312"/>
          <w:color w:val="010101"/>
          <w:sz w:val="32"/>
          <w:szCs w:val="32"/>
          <w:highlight w:val="none"/>
          <w:shd w:val="clear" w:color="auto" w:fill="FFFFFF"/>
        </w:rPr>
        <w:t>万元，项目支出标准、支付依据合规合法。</w:t>
      </w:r>
    </w:p>
    <w:p>
      <w:pPr>
        <w:pStyle w:val="2"/>
        <w:autoSpaceDE w:val="0"/>
        <w:spacing w:before="0" w:beforeAutospacing="0" w:after="0" w:afterAutospacing="0"/>
        <w:ind w:firstLine="640" w:firstLineChars="200"/>
        <w:rPr>
          <w:rFonts w:hint="eastAsia" w:ascii="仿宋_GB2312" w:eastAsia="仿宋_GB2312"/>
          <w:sz w:val="32"/>
          <w:szCs w:val="32"/>
          <w:highlight w:val="none"/>
        </w:rPr>
      </w:pPr>
      <w:r>
        <w:rPr>
          <w:rFonts w:hint="eastAsia" w:ascii="仿宋_GB2312" w:eastAsia="仿宋_GB2312"/>
          <w:color w:val="010101"/>
          <w:sz w:val="32"/>
          <w:szCs w:val="32"/>
          <w:highlight w:val="none"/>
          <w:shd w:val="clear" w:color="auto" w:fill="FFFFFF"/>
        </w:rPr>
        <w:t>2、资金管理情况</w:t>
      </w:r>
    </w:p>
    <w:p>
      <w:pPr>
        <w:pStyle w:val="2"/>
        <w:autoSpaceDE w:val="0"/>
        <w:spacing w:before="0" w:beforeAutospacing="0" w:after="0" w:afterAutospacing="0"/>
        <w:ind w:firstLine="640" w:firstLineChars="200"/>
        <w:rPr>
          <w:rFonts w:hint="eastAsia" w:ascii="仿宋_GB2312" w:eastAsia="仿宋_GB2312"/>
          <w:sz w:val="32"/>
          <w:szCs w:val="32"/>
          <w:highlight w:val="none"/>
        </w:rPr>
      </w:pPr>
      <w:r>
        <w:rPr>
          <w:rFonts w:hint="eastAsia" w:ascii="仿宋_GB2312" w:eastAsia="仿宋_GB2312"/>
          <w:color w:val="010101"/>
          <w:sz w:val="32"/>
          <w:szCs w:val="32"/>
          <w:highlight w:val="none"/>
          <w:shd w:val="clear" w:color="auto" w:fill="FFFFFF"/>
        </w:rPr>
        <w:t>我局严格按照《靖州苗族侗族自治县民政局专项资金管理办法》使用专项资金，财务制度健全，项目资金使用符合相关的财务管理制度规定，为保障资金的安全、规范运行而采取了必要的监控措施。</w:t>
      </w:r>
    </w:p>
    <w:p>
      <w:pPr>
        <w:pStyle w:val="2"/>
        <w:autoSpaceDE w:val="0"/>
        <w:spacing w:before="0" w:beforeAutospacing="0" w:after="0" w:afterAutospacing="0"/>
        <w:ind w:firstLine="640" w:firstLineChars="200"/>
        <w:rPr>
          <w:rFonts w:hint="eastAsia" w:ascii="仿宋_GB2312" w:eastAsia="仿宋_GB2312"/>
          <w:sz w:val="32"/>
          <w:szCs w:val="32"/>
          <w:highlight w:val="none"/>
        </w:rPr>
      </w:pPr>
      <w:r>
        <w:rPr>
          <w:rFonts w:hint="eastAsia" w:ascii="仿宋_GB2312" w:eastAsia="仿宋_GB2312"/>
          <w:color w:val="010101"/>
          <w:sz w:val="32"/>
          <w:szCs w:val="32"/>
          <w:highlight w:val="none"/>
          <w:shd w:val="clear" w:color="auto" w:fill="FFFFFF"/>
        </w:rPr>
        <w:t>3、项目组织实施情况</w:t>
      </w:r>
    </w:p>
    <w:p>
      <w:pPr>
        <w:pStyle w:val="2"/>
        <w:autoSpaceDE w:val="0"/>
        <w:spacing w:before="0" w:beforeAutospacing="0" w:after="0" w:afterAutospacing="0"/>
        <w:ind w:firstLine="480" w:firstLineChars="150"/>
        <w:rPr>
          <w:rFonts w:hint="eastAsia" w:ascii="仿宋_GB2312" w:eastAsia="仿宋_GB2312"/>
          <w:sz w:val="32"/>
          <w:szCs w:val="32"/>
          <w:highlight w:val="none"/>
        </w:rPr>
      </w:pPr>
      <w:r>
        <w:rPr>
          <w:rFonts w:hint="eastAsia" w:ascii="仿宋_GB2312" w:eastAsia="仿宋_GB2312"/>
          <w:color w:val="010101"/>
          <w:sz w:val="32"/>
          <w:szCs w:val="32"/>
          <w:highlight w:val="none"/>
          <w:shd w:val="clear" w:color="auto" w:fill="FFFFFF"/>
        </w:rPr>
        <w:t>严格落实了社会救助责任体系，明确了专人负责，设置了合理的评价指标和标准，评价指标基本予以量化，且权重分配合理。为</w:t>
      </w:r>
      <w:r>
        <w:rPr>
          <w:rFonts w:hint="eastAsia" w:ascii="仿宋_GB2312" w:hAnsi="微软雅黑" w:eastAsia="仿宋_GB2312"/>
          <w:sz w:val="32"/>
          <w:szCs w:val="32"/>
          <w:highlight w:val="none"/>
          <w:shd w:val="clear" w:color="auto" w:fill="F6F6F8"/>
        </w:rPr>
        <w:t>重度残疾群众和困难残疾群众解决生活困难。</w:t>
      </w:r>
      <w:r>
        <w:rPr>
          <w:rFonts w:hint="eastAsia" w:ascii="仿宋_GB2312" w:eastAsia="仿宋_GB2312"/>
          <w:color w:val="010101"/>
          <w:sz w:val="32"/>
          <w:szCs w:val="32"/>
          <w:highlight w:val="none"/>
          <w:shd w:val="clear" w:color="auto" w:fill="FFFFFF"/>
        </w:rPr>
        <w:t>为惠民生、解民优、保稳定、促和谐发挥重要作用。</w:t>
      </w:r>
    </w:p>
    <w:p>
      <w:pPr>
        <w:pStyle w:val="2"/>
        <w:autoSpaceDE w:val="0"/>
        <w:spacing w:before="0" w:beforeAutospacing="0" w:after="0" w:afterAutospacing="0"/>
        <w:ind w:firstLine="643" w:firstLineChars="20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rPr>
        <w:t>二、绩效评价工作情况</w:t>
      </w:r>
    </w:p>
    <w:p>
      <w:pPr>
        <w:pStyle w:val="2"/>
        <w:autoSpaceDE w:val="0"/>
        <w:spacing w:before="0" w:beforeAutospacing="0" w:after="0" w:afterAutospacing="0"/>
        <w:ind w:firstLine="643" w:firstLineChars="20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rPr>
        <w:t>（一）绩效评价目的</w:t>
      </w:r>
    </w:p>
    <w:p>
      <w:pPr>
        <w:pStyle w:val="2"/>
        <w:autoSpaceDE w:val="0"/>
        <w:spacing w:before="0" w:beforeAutospacing="0" w:after="0" w:afterAutospacing="0"/>
        <w:ind w:firstLine="640" w:firstLineChars="200"/>
        <w:rPr>
          <w:rFonts w:hint="eastAsia" w:ascii="仿宋_GB2312" w:hAnsi="宋体" w:eastAsia="仿宋_GB2312"/>
          <w:color w:val="auto"/>
          <w:sz w:val="32"/>
          <w:szCs w:val="32"/>
          <w:highlight w:val="none"/>
          <w:shd w:val="clear" w:color="auto" w:fill="FFFFFF"/>
        </w:rPr>
      </w:pPr>
      <w:bookmarkStart w:id="0" w:name="_Hlk516311989"/>
      <w:r>
        <w:rPr>
          <w:rFonts w:hint="eastAsia" w:ascii="仿宋_GB2312" w:hAnsi="宋体" w:eastAsia="仿宋_GB2312"/>
          <w:color w:val="auto"/>
          <w:sz w:val="32"/>
          <w:szCs w:val="32"/>
          <w:highlight w:val="none"/>
          <w:shd w:val="clear" w:color="auto" w:fill="FFFFFF"/>
        </w:rPr>
        <w:t>以进一步提升我县残疾人社会保障水平为目标，我局根据依据《湖南省人民政府关于全面建立困难残疾人生活补贴和重度残疾人护理补贴制度的实施意见》(湘政发【2015】54号)和《湖南省民政局 湖南省财政厅 湖南省残疾人联合会&lt;关于印发湖南省困难残疾人生活补贴和重度残疾人护理补贴发放操作办法（试行）&gt;的通知》（湘民发【2016】4号）一系列文件的要求，重点将资金用于我县残疾人因残疾产生的额外长期照护支出，积极推进和全面实施残疾人两项补贴制度，健全完善我</w:t>
      </w:r>
      <w:r>
        <w:rPr>
          <w:rFonts w:hint="eastAsia" w:ascii="仿宋_GB2312" w:eastAsia="仿宋_GB2312"/>
          <w:color w:val="auto"/>
          <w:sz w:val="32"/>
          <w:szCs w:val="32"/>
          <w:highlight w:val="none"/>
          <w:shd w:val="clear" w:color="auto" w:fill="FFFFFF"/>
          <w:lang w:eastAsia="zh-CN"/>
        </w:rPr>
        <w:t>县</w:t>
      </w:r>
      <w:r>
        <w:rPr>
          <w:rFonts w:hint="eastAsia" w:ascii="仿宋_GB2312" w:hAnsi="宋体" w:eastAsia="仿宋_GB2312"/>
          <w:color w:val="auto"/>
          <w:sz w:val="32"/>
          <w:szCs w:val="32"/>
          <w:highlight w:val="none"/>
          <w:shd w:val="clear" w:color="auto" w:fill="FFFFFF"/>
        </w:rPr>
        <w:t>困难残疾人和重度残疾人两项补贴制度，为提升我</w:t>
      </w:r>
      <w:r>
        <w:rPr>
          <w:rFonts w:hint="eastAsia" w:ascii="仿宋_GB2312" w:eastAsia="仿宋_GB2312"/>
          <w:color w:val="auto"/>
          <w:sz w:val="32"/>
          <w:szCs w:val="32"/>
          <w:highlight w:val="none"/>
          <w:shd w:val="clear" w:color="auto" w:fill="FFFFFF"/>
          <w:lang w:eastAsia="zh-CN"/>
        </w:rPr>
        <w:t>县</w:t>
      </w:r>
      <w:r>
        <w:rPr>
          <w:rFonts w:hint="eastAsia" w:ascii="仿宋_GB2312" w:hAnsi="宋体" w:eastAsia="仿宋_GB2312"/>
          <w:color w:val="auto"/>
          <w:sz w:val="32"/>
          <w:szCs w:val="32"/>
          <w:highlight w:val="none"/>
          <w:shd w:val="clear" w:color="auto" w:fill="FFFFFF"/>
        </w:rPr>
        <w:t>残疾人社会保障水平提供有力支撑。</w:t>
      </w:r>
      <w:bookmarkEnd w:id="0"/>
    </w:p>
    <w:p>
      <w:pPr>
        <w:pStyle w:val="2"/>
        <w:autoSpaceDE w:val="0"/>
        <w:spacing w:before="0" w:beforeAutospacing="0" w:after="0" w:afterAutospacing="0"/>
        <w:ind w:firstLine="643" w:firstLineChars="20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rPr>
        <w:t>（二）绩效评价工作过程。</w:t>
      </w:r>
    </w:p>
    <w:p>
      <w:pPr>
        <w:widowControl/>
        <w:shd w:val="clear" w:color="auto" w:fill="FFFFFF"/>
        <w:autoSpaceDE w:val="0"/>
        <w:ind w:firstLine="640" w:firstLineChars="200"/>
        <w:jc w:val="left"/>
        <w:rPr>
          <w:rFonts w:hint="eastAsia" w:ascii="仿宋_GB2312" w:eastAsia="仿宋_GB2312"/>
          <w:color w:val="333333"/>
          <w:kern w:val="0"/>
          <w:sz w:val="32"/>
          <w:szCs w:val="32"/>
          <w:highlight w:val="none"/>
        </w:rPr>
      </w:pPr>
      <w:r>
        <w:rPr>
          <w:rFonts w:hint="eastAsia" w:ascii="仿宋_GB2312" w:eastAsia="仿宋_GB2312"/>
          <w:color w:val="010101"/>
          <w:sz w:val="32"/>
          <w:szCs w:val="32"/>
          <w:highlight w:val="none"/>
          <w:shd w:val="clear" w:color="auto" w:fill="FFFFFF"/>
        </w:rPr>
        <w:t>绩效评价主要采取以下方式：一是召开座谈会，听取项目单位有关资金使用管理及项目组织实施管理等情况介绍，了解资金使用取得的成效、存在的主要问题及建议等。二是对项目单位评价基础数据资料、辅证材料等进行审查核实。三是实地察看项目进展情况并进行了实地拍照。通过以上方式全面了解项目的基本情况，为提出评价结论提供了依据。</w:t>
      </w:r>
      <w:r>
        <w:rPr>
          <w:rFonts w:hint="eastAsia" w:ascii="仿宋_GB2312" w:eastAsia="仿宋_GB2312"/>
          <w:color w:val="333333"/>
          <w:kern w:val="0"/>
          <w:sz w:val="32"/>
          <w:szCs w:val="32"/>
          <w:highlight w:val="none"/>
        </w:rPr>
        <w:t>我局成立靖州县民政局预算绩效管理工作领导小组，局长为组长，相关业务科室负责人为成员，负责具体项目实施，下设办公室依托在计财股，负责进行协调、跟踪、监督、送报绩效材料等。结合</w:t>
      </w:r>
      <w:r>
        <w:rPr>
          <w:rFonts w:hint="eastAsia" w:ascii="仿宋_GB2312" w:eastAsia="仿宋_GB2312"/>
          <w:color w:val="333333"/>
          <w:kern w:val="0"/>
          <w:sz w:val="32"/>
          <w:szCs w:val="32"/>
          <w:highlight w:val="none"/>
          <w:lang w:val="en-US" w:eastAsia="zh-CN"/>
        </w:rPr>
        <w:t>2022</w:t>
      </w:r>
      <w:r>
        <w:rPr>
          <w:rFonts w:hint="eastAsia" w:ascii="仿宋_GB2312" w:eastAsia="仿宋_GB2312"/>
          <w:color w:val="333333"/>
          <w:kern w:val="0"/>
          <w:sz w:val="32"/>
          <w:szCs w:val="32"/>
          <w:highlight w:val="none"/>
        </w:rPr>
        <w:t>年县政府对县民政局绩效考评方案和20</w:t>
      </w:r>
      <w:r>
        <w:rPr>
          <w:rFonts w:hint="eastAsia" w:ascii="仿宋_GB2312" w:eastAsia="仿宋_GB2312"/>
          <w:color w:val="333333"/>
          <w:kern w:val="0"/>
          <w:sz w:val="32"/>
          <w:szCs w:val="32"/>
          <w:highlight w:val="none"/>
          <w:lang w:val="en-US" w:eastAsia="zh-CN"/>
        </w:rPr>
        <w:t>22</w:t>
      </w:r>
      <w:r>
        <w:rPr>
          <w:rFonts w:hint="eastAsia" w:ascii="仿宋_GB2312" w:eastAsia="仿宋_GB2312"/>
          <w:color w:val="333333"/>
          <w:kern w:val="0"/>
          <w:sz w:val="32"/>
          <w:szCs w:val="32"/>
          <w:highlight w:val="none"/>
        </w:rPr>
        <w:t>年工作计划，召集相关业务科室负责人进行探讨、研究、论证的基础上，参考前三年的平均值、当年的数值、发展趋势等，制定了切合实际、可量化、可考评的年度目标。资金覆盖率和项目覆盖率符合年度预算布置要求。20</w:t>
      </w:r>
      <w:r>
        <w:rPr>
          <w:rFonts w:hint="eastAsia" w:ascii="仿宋_GB2312" w:eastAsia="仿宋_GB2312"/>
          <w:color w:val="333333"/>
          <w:kern w:val="0"/>
          <w:sz w:val="32"/>
          <w:szCs w:val="32"/>
          <w:highlight w:val="none"/>
          <w:lang w:val="en-US" w:eastAsia="zh-CN"/>
        </w:rPr>
        <w:t>22</w:t>
      </w:r>
      <w:r>
        <w:rPr>
          <w:rFonts w:hint="eastAsia" w:ascii="仿宋_GB2312" w:eastAsia="仿宋_GB2312"/>
          <w:color w:val="333333"/>
          <w:kern w:val="0"/>
          <w:sz w:val="32"/>
          <w:szCs w:val="32"/>
          <w:highlight w:val="none"/>
        </w:rPr>
        <w:t>年资金到位率100%，项目总投资</w:t>
      </w:r>
      <w:r>
        <w:rPr>
          <w:rFonts w:hint="eastAsia" w:ascii="仿宋_GB2312" w:eastAsia="仿宋_GB2312"/>
          <w:color w:val="333333"/>
          <w:kern w:val="0"/>
          <w:sz w:val="32"/>
          <w:szCs w:val="32"/>
          <w:highlight w:val="none"/>
          <w:lang w:val="en-US" w:eastAsia="zh-CN"/>
        </w:rPr>
        <w:t>466.28</w:t>
      </w:r>
      <w:r>
        <w:rPr>
          <w:rFonts w:hint="eastAsia" w:ascii="仿宋_GB2312" w:eastAsia="仿宋_GB2312"/>
          <w:color w:val="333333"/>
          <w:kern w:val="0"/>
          <w:sz w:val="32"/>
          <w:szCs w:val="32"/>
          <w:highlight w:val="none"/>
        </w:rPr>
        <w:t>万元，实际支出</w:t>
      </w:r>
      <w:r>
        <w:rPr>
          <w:rFonts w:hint="eastAsia" w:ascii="仿宋_GB2312" w:eastAsia="仿宋_GB2312"/>
          <w:color w:val="333333"/>
          <w:kern w:val="0"/>
          <w:sz w:val="32"/>
          <w:szCs w:val="32"/>
          <w:highlight w:val="none"/>
          <w:lang w:val="en-US" w:eastAsia="zh-CN"/>
        </w:rPr>
        <w:t>466.28</w:t>
      </w:r>
      <w:r>
        <w:rPr>
          <w:rFonts w:hint="eastAsia" w:ascii="仿宋_GB2312" w:eastAsia="仿宋_GB2312"/>
          <w:color w:val="333333"/>
          <w:kern w:val="0"/>
          <w:sz w:val="32"/>
          <w:szCs w:val="32"/>
          <w:highlight w:val="none"/>
        </w:rPr>
        <w:t>万元，资金使用率100%。</w:t>
      </w:r>
    </w:p>
    <w:p>
      <w:pPr>
        <w:pStyle w:val="2"/>
        <w:autoSpaceDE w:val="0"/>
        <w:spacing w:before="0" w:beforeAutospacing="0" w:after="0" w:afterAutospacing="0"/>
        <w:ind w:firstLine="643" w:firstLineChars="20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rPr>
        <w:t>三、</w:t>
      </w:r>
      <w:r>
        <w:rPr>
          <w:rFonts w:hint="eastAsia" w:ascii="仿宋_GB2312" w:eastAsia="仿宋_GB2312"/>
          <w:b/>
          <w:bCs/>
          <w:color w:val="010101"/>
          <w:sz w:val="32"/>
          <w:szCs w:val="32"/>
          <w:highlight w:val="none"/>
          <w:shd w:val="clear" w:color="auto" w:fill="FFFFFF"/>
          <w:lang w:eastAsia="zh-CN"/>
        </w:rPr>
        <w:t>综合评价情况及</w:t>
      </w:r>
      <w:r>
        <w:rPr>
          <w:rFonts w:hint="eastAsia" w:ascii="仿宋_GB2312" w:eastAsia="仿宋_GB2312"/>
          <w:b/>
          <w:bCs/>
          <w:color w:val="010101"/>
          <w:sz w:val="32"/>
          <w:szCs w:val="32"/>
          <w:highlight w:val="none"/>
          <w:shd w:val="clear" w:color="auto" w:fill="FFFFFF"/>
        </w:rPr>
        <w:t>评价结论</w:t>
      </w:r>
    </w:p>
    <w:p>
      <w:pPr>
        <w:widowControl/>
        <w:spacing w:line="480" w:lineRule="auto"/>
        <w:ind w:firstLine="480"/>
        <w:jc w:val="left"/>
        <w:rPr>
          <w:rFonts w:hint="eastAsia" w:ascii="仿宋_GB2312" w:hAnsi="宋体" w:eastAsia="仿宋_GB2312" w:cs="宋体"/>
          <w:color w:val="525252"/>
          <w:kern w:val="0"/>
          <w:sz w:val="32"/>
          <w:szCs w:val="32"/>
          <w:highlight w:val="none"/>
          <w:lang w:val="en-US" w:eastAsia="zh-CN"/>
        </w:rPr>
      </w:pPr>
      <w:r>
        <w:rPr>
          <w:rFonts w:hint="eastAsia" w:ascii="仿宋_GB2312" w:eastAsia="仿宋_GB2312"/>
          <w:color w:val="000000"/>
          <w:sz w:val="32"/>
          <w:szCs w:val="32"/>
          <w:highlight w:val="none"/>
          <w:shd w:val="clear" w:color="auto" w:fill="FFFFFF"/>
        </w:rPr>
        <w:t>残疾人是需要格外关心、格外关注的特殊困难群体。党和政府高度重视残疾人福利保障工作。为解决残疾人特殊生活困难和长期照护困难，国务院决定全面建立困难残疾人生活补贴和重度残疾人护理补贴（以下统称残疾人两项补贴）制度。这是保障残疾人生存发展权益的重要举措，对全面建成小康社会具有重要意义。我县20</w:t>
      </w:r>
      <w:r>
        <w:rPr>
          <w:rFonts w:hint="eastAsia" w:ascii="仿宋_GB2312" w:eastAsia="仿宋_GB2312"/>
          <w:color w:val="000000"/>
          <w:sz w:val="32"/>
          <w:szCs w:val="32"/>
          <w:highlight w:val="none"/>
          <w:shd w:val="clear" w:color="auto" w:fill="FFFFFF"/>
          <w:lang w:val="en-US" w:eastAsia="zh-CN"/>
        </w:rPr>
        <w:t>21</w:t>
      </w:r>
      <w:r>
        <w:rPr>
          <w:rFonts w:hint="eastAsia" w:ascii="仿宋_GB2312" w:eastAsia="仿宋_GB2312"/>
          <w:color w:val="000000"/>
          <w:sz w:val="32"/>
          <w:szCs w:val="32"/>
          <w:highlight w:val="none"/>
          <w:shd w:val="clear" w:color="auto" w:fill="FFFFFF"/>
        </w:rPr>
        <w:t>年度全面落实残疾人生活补贴和重度残疾人护理补贴对构建社会主义和谐发展有极大促进作用</w:t>
      </w:r>
      <w:r>
        <w:rPr>
          <w:rFonts w:hint="eastAsia" w:ascii="仿宋_GB2312" w:hAnsi="宋体" w:eastAsia="仿宋_GB2312" w:cs="宋体"/>
          <w:color w:val="525252"/>
          <w:kern w:val="0"/>
          <w:sz w:val="32"/>
          <w:szCs w:val="32"/>
          <w:highlight w:val="none"/>
        </w:rPr>
        <w:t>。经过各项指标的认真评价和综合评审，综合得分96分</w:t>
      </w:r>
      <w:r>
        <w:rPr>
          <w:rFonts w:hint="eastAsia" w:ascii="仿宋_GB2312" w:hAnsi="宋体" w:eastAsia="仿宋_GB2312" w:cs="宋体"/>
          <w:color w:val="525252"/>
          <w:kern w:val="0"/>
          <w:sz w:val="32"/>
          <w:szCs w:val="32"/>
          <w:highlight w:val="none"/>
          <w:lang w:val="en-US" w:eastAsia="zh-CN"/>
        </w:rPr>
        <w:t>.</w:t>
      </w:r>
    </w:p>
    <w:p>
      <w:pPr>
        <w:pStyle w:val="2"/>
        <w:autoSpaceDE w:val="0"/>
        <w:spacing w:before="0" w:beforeAutospacing="0" w:after="0" w:afterAutospacing="0"/>
        <w:ind w:firstLine="420" w:firstLineChars="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rPr>
        <w:t>四、项目主要绩效情况分析</w:t>
      </w:r>
    </w:p>
    <w:p>
      <w:pPr>
        <w:pStyle w:val="2"/>
        <w:autoSpaceDE w:val="0"/>
        <w:spacing w:before="0" w:beforeAutospacing="0" w:after="0" w:afterAutospacing="0"/>
        <w:ind w:firstLine="420" w:firstLineChars="0"/>
        <w:rPr>
          <w:rFonts w:hint="eastAsia" w:ascii="仿宋_GB2312" w:eastAsia="仿宋_GB2312"/>
          <w:sz w:val="32"/>
          <w:szCs w:val="32"/>
          <w:highlight w:val="none"/>
          <w:shd w:val="clear" w:color="auto" w:fill="FFFFFF"/>
        </w:rPr>
      </w:pPr>
      <w:r>
        <w:rPr>
          <w:rFonts w:hint="eastAsia" w:ascii="仿宋_GB2312" w:hAnsi="宋体" w:eastAsia="仿宋_GB2312"/>
          <w:color w:val="2F2F2F"/>
          <w:sz w:val="32"/>
          <w:szCs w:val="32"/>
          <w:highlight w:val="none"/>
          <w:shd w:val="clear" w:color="auto" w:fill="FFFFFF"/>
        </w:rPr>
        <w:t>项目经费主要用于为残疾人发放</w:t>
      </w:r>
      <w:r>
        <w:rPr>
          <w:rFonts w:hint="eastAsia" w:ascii="仿宋_GB2312" w:eastAsia="仿宋_GB2312"/>
          <w:color w:val="2F2F2F"/>
          <w:sz w:val="32"/>
          <w:szCs w:val="32"/>
          <w:highlight w:val="none"/>
          <w:shd w:val="clear" w:color="auto" w:fill="FFFFFF"/>
          <w:lang w:eastAsia="zh-CN"/>
        </w:rPr>
        <w:t>两项</w:t>
      </w:r>
      <w:r>
        <w:rPr>
          <w:rFonts w:hint="eastAsia" w:ascii="仿宋_GB2312" w:hAnsi="宋体" w:eastAsia="仿宋_GB2312"/>
          <w:color w:val="2F2F2F"/>
          <w:sz w:val="32"/>
          <w:szCs w:val="32"/>
          <w:highlight w:val="none"/>
          <w:shd w:val="clear" w:color="auto" w:fill="FFFFFF"/>
        </w:rPr>
        <w:t>补贴，解决残疾人特殊生活困难和长期照护困难。产出指标为实现残疾人重度护理补贴</w:t>
      </w:r>
      <w:r>
        <w:rPr>
          <w:rFonts w:hint="eastAsia" w:ascii="仿宋_GB2312" w:eastAsia="仿宋_GB2312"/>
          <w:color w:val="2F2F2F"/>
          <w:sz w:val="32"/>
          <w:szCs w:val="32"/>
          <w:highlight w:val="none"/>
          <w:shd w:val="clear" w:color="auto" w:fill="FFFFFF"/>
          <w:lang w:eastAsia="zh-CN"/>
        </w:rPr>
        <w:t>、困难生活补贴</w:t>
      </w:r>
      <w:r>
        <w:rPr>
          <w:rFonts w:hint="eastAsia" w:ascii="仿宋_GB2312" w:hAnsi="宋体" w:eastAsia="仿宋_GB2312"/>
          <w:color w:val="2F2F2F"/>
          <w:sz w:val="32"/>
          <w:szCs w:val="32"/>
          <w:highlight w:val="none"/>
          <w:shd w:val="clear" w:color="auto" w:fill="FFFFFF"/>
        </w:rPr>
        <w:t>按月发放。项目纳入政府管理，会计核算真实、完整、及时，用款程序规范，符合国家财务管理制度等相关规定。本年目标已基本完成。</w:t>
      </w:r>
    </w:p>
    <w:p>
      <w:pPr>
        <w:pStyle w:val="2"/>
        <w:autoSpaceDE w:val="0"/>
        <w:spacing w:before="0" w:beforeAutospacing="0" w:after="0" w:afterAutospacing="0"/>
        <w:ind w:firstLine="643" w:firstLineChars="20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lang w:eastAsia="zh-CN"/>
        </w:rPr>
        <w:t>五、</w:t>
      </w:r>
      <w:r>
        <w:rPr>
          <w:rFonts w:hint="eastAsia" w:ascii="仿宋_GB2312" w:eastAsia="仿宋_GB2312"/>
          <w:b/>
          <w:bCs/>
          <w:color w:val="010101"/>
          <w:sz w:val="32"/>
          <w:szCs w:val="32"/>
          <w:highlight w:val="none"/>
          <w:shd w:val="clear" w:color="auto" w:fill="FFFFFF"/>
        </w:rPr>
        <w:t>存在的问题</w:t>
      </w:r>
    </w:p>
    <w:p>
      <w:pPr>
        <w:pStyle w:val="2"/>
        <w:autoSpaceDE w:val="0"/>
        <w:spacing w:before="0" w:beforeAutospacing="0" w:after="0" w:afterAutospacing="0"/>
        <w:ind w:firstLine="640" w:firstLineChars="200"/>
        <w:rPr>
          <w:rFonts w:hint="eastAsia" w:ascii="仿宋_GB2312" w:eastAsia="仿宋_GB2312"/>
          <w:sz w:val="32"/>
          <w:szCs w:val="32"/>
          <w:highlight w:val="none"/>
          <w:shd w:val="clear" w:color="auto" w:fill="FFFFFF"/>
        </w:rPr>
      </w:pPr>
      <w:r>
        <w:rPr>
          <w:rFonts w:hint="eastAsia" w:ascii="仿宋_GB2312" w:eastAsia="仿宋_GB2312"/>
          <w:sz w:val="32"/>
          <w:szCs w:val="32"/>
          <w:highlight w:val="none"/>
          <w:shd w:val="clear" w:color="auto" w:fill="FFFFFF"/>
        </w:rPr>
        <w:t>一是工作力量不足。我局社会</w:t>
      </w:r>
      <w:r>
        <w:rPr>
          <w:rFonts w:hint="eastAsia" w:ascii="仿宋_GB2312" w:eastAsia="仿宋_GB2312"/>
          <w:sz w:val="32"/>
          <w:szCs w:val="32"/>
          <w:highlight w:val="none"/>
          <w:shd w:val="clear" w:color="auto" w:fill="FFFFFF"/>
          <w:lang w:eastAsia="zh-CN"/>
        </w:rPr>
        <w:t>事务</w:t>
      </w:r>
      <w:r>
        <w:rPr>
          <w:rFonts w:hint="eastAsia" w:ascii="仿宋_GB2312" w:eastAsia="仿宋_GB2312"/>
          <w:sz w:val="32"/>
          <w:szCs w:val="32"/>
          <w:highlight w:val="none"/>
          <w:shd w:val="clear" w:color="auto" w:fill="FFFFFF"/>
        </w:rPr>
        <w:t>股只有1人，工作任务本身十分繁重，近1-2年新增的职能除残疾人“两项补贴”外，还有推行养老机构责任险、加强困境儿童保障等任务，受政府机构改革控编的制约，难以增加工作人员，工作压力非常大。</w:t>
      </w:r>
    </w:p>
    <w:p>
      <w:pPr>
        <w:pStyle w:val="2"/>
        <w:autoSpaceDE w:val="0"/>
        <w:spacing w:before="0" w:beforeAutospacing="0" w:after="0" w:afterAutospacing="0"/>
        <w:ind w:firstLine="643" w:firstLineChars="200"/>
        <w:rPr>
          <w:rFonts w:hint="eastAsia" w:ascii="仿宋_GB2312" w:eastAsia="仿宋_GB2312"/>
          <w:b/>
          <w:bCs/>
          <w:sz w:val="32"/>
          <w:szCs w:val="32"/>
        </w:rPr>
      </w:pPr>
      <w:r>
        <w:rPr>
          <w:rFonts w:hint="eastAsia" w:ascii="仿宋_GB2312" w:eastAsia="仿宋_GB2312"/>
          <w:b/>
          <w:bCs/>
          <w:color w:val="010101"/>
          <w:sz w:val="32"/>
          <w:szCs w:val="32"/>
          <w:shd w:val="clear" w:color="auto" w:fill="FFFFFF"/>
        </w:rPr>
        <w:t>（二）</w:t>
      </w:r>
      <w:r>
        <w:rPr>
          <w:rFonts w:hint="eastAsia" w:ascii="仿宋_GB2312" w:eastAsia="仿宋_GB2312"/>
          <w:b/>
          <w:bCs/>
          <w:color w:val="010101"/>
          <w:sz w:val="32"/>
          <w:szCs w:val="32"/>
          <w:shd w:val="clear" w:color="auto" w:fill="FFFFFF"/>
          <w:lang w:val="en-US" w:eastAsia="zh-CN"/>
        </w:rPr>
        <w:t>有关</w:t>
      </w:r>
      <w:r>
        <w:rPr>
          <w:rFonts w:hint="eastAsia" w:ascii="仿宋_GB2312" w:eastAsia="仿宋_GB2312"/>
          <w:b/>
          <w:bCs/>
          <w:color w:val="010101"/>
          <w:sz w:val="32"/>
          <w:szCs w:val="32"/>
          <w:shd w:val="clear" w:color="auto" w:fill="FFFFFF"/>
        </w:rPr>
        <w:t>建议</w:t>
      </w:r>
    </w:p>
    <w:p>
      <w:pPr>
        <w:pStyle w:val="2"/>
        <w:autoSpaceDE w:val="0"/>
        <w:spacing w:before="0" w:beforeAutospacing="0" w:after="0" w:afterAutospacing="0"/>
        <w:ind w:firstLine="640" w:firstLineChars="200"/>
        <w:rPr>
          <w:rFonts w:hint="eastAsia" w:ascii="仿宋_GB2312" w:eastAsia="仿宋_GB2312"/>
          <w:color w:val="010101"/>
          <w:sz w:val="32"/>
          <w:szCs w:val="32"/>
          <w:shd w:val="clear" w:color="auto" w:fill="FFFFFF"/>
        </w:rPr>
      </w:pPr>
      <w:r>
        <w:rPr>
          <w:rFonts w:hint="eastAsia" w:ascii="仿宋_GB2312" w:eastAsia="仿宋_GB2312"/>
          <w:color w:val="010101"/>
          <w:sz w:val="32"/>
          <w:szCs w:val="32"/>
          <w:shd w:val="clear" w:color="auto" w:fill="FFFFFF"/>
        </w:rPr>
        <w:t>1、根据工作实际配备人员。</w:t>
      </w:r>
    </w:p>
    <w:p>
      <w:pPr>
        <w:ind w:firstLine="516" w:firstLineChars="150"/>
        <w:rPr>
          <w:rFonts w:hint="eastAsia"/>
        </w:rPr>
      </w:pPr>
      <w:r>
        <w:rPr>
          <w:rFonts w:hint="eastAsia" w:ascii="仿宋_GB2312" w:eastAsia="仿宋_GB2312"/>
          <w:color w:val="4A4A4A"/>
          <w:spacing w:val="12"/>
          <w:sz w:val="32"/>
          <w:szCs w:val="32"/>
        </w:rPr>
        <w:t>2、积极研究探索解决问题的途径方法，多出经验多出成果。</w:t>
      </w: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firstLine="6080" w:firstLineChars="19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firstLine="6080" w:firstLineChars="19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firstLine="6080" w:firstLineChars="19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靖州县民政局</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2023年2</w:t>
      </w:r>
      <w:bookmarkStart w:id="1" w:name="_GoBack"/>
      <w:bookmarkEnd w:id="1"/>
      <w:r>
        <w:rPr>
          <w:rFonts w:hint="eastAsia" w:ascii="仿宋_GB2312" w:hAnsi="仿宋_GB2312" w:eastAsia="仿宋_GB2312" w:cs="仿宋_GB2312"/>
          <w:sz w:val="32"/>
          <w:szCs w:val="32"/>
          <w:lang w:val="en-US" w:eastAsia="zh-CN"/>
        </w:rPr>
        <w:t>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Y2QzNjhiNGJlMGM0ZTJlMjQ4YjJhMjI4ZTAwNzgifQ=="/>
  </w:docVars>
  <w:rsids>
    <w:rsidRoot w:val="00EC5D2C"/>
    <w:rsid w:val="000D7439"/>
    <w:rsid w:val="000F157B"/>
    <w:rsid w:val="003F0CCC"/>
    <w:rsid w:val="005E19F4"/>
    <w:rsid w:val="007425DE"/>
    <w:rsid w:val="00775867"/>
    <w:rsid w:val="00932FD6"/>
    <w:rsid w:val="00AA3BF6"/>
    <w:rsid w:val="00AD621B"/>
    <w:rsid w:val="00D1643E"/>
    <w:rsid w:val="00DF2756"/>
    <w:rsid w:val="00EC5D2C"/>
    <w:rsid w:val="02BF4DA9"/>
    <w:rsid w:val="08626EEC"/>
    <w:rsid w:val="0997158E"/>
    <w:rsid w:val="1071135A"/>
    <w:rsid w:val="123C3176"/>
    <w:rsid w:val="14434B33"/>
    <w:rsid w:val="182279CB"/>
    <w:rsid w:val="1F2B3C3E"/>
    <w:rsid w:val="20CA33DF"/>
    <w:rsid w:val="244C46B1"/>
    <w:rsid w:val="251E7FE7"/>
    <w:rsid w:val="2DF11B4F"/>
    <w:rsid w:val="2F886A3F"/>
    <w:rsid w:val="3DB7123E"/>
    <w:rsid w:val="440C6061"/>
    <w:rsid w:val="48E43AF7"/>
    <w:rsid w:val="4B544257"/>
    <w:rsid w:val="54F36571"/>
    <w:rsid w:val="5B7F5121"/>
    <w:rsid w:val="604E1329"/>
    <w:rsid w:val="64F82534"/>
    <w:rsid w:val="69436CBF"/>
    <w:rsid w:val="69CC1F9A"/>
    <w:rsid w:val="77143BDC"/>
    <w:rsid w:val="773B2B5B"/>
    <w:rsid w:val="774D7D60"/>
    <w:rsid w:val="7DA21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ssa</Company>
  <Pages>5</Pages>
  <Words>1882</Words>
  <Characters>1979</Characters>
  <Lines>14</Lines>
  <Paragraphs>4</Paragraphs>
  <TotalTime>34</TotalTime>
  <ScaleCrop>false</ScaleCrop>
  <LinksUpToDate>false</LinksUpToDate>
  <CharactersWithSpaces>2079</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2019-06-26T03:13:00Z</dcterms:created>
  <dc:creator>sa</dc:creator>
  <cp:lastModifiedBy>Administrator</cp:lastModifiedBy>
  <dcterms:modified xsi:type="dcterms:W3CDTF">2023-02-28T00:18:37Z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D3EF39A5748F4EF5B50D41FFF3C81D84</vt:lpwstr>
  </property>
</Properties>
</file>