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hint="eastAsia" w:eastAsia="黑体" w:cs="黑体"/>
          <w:bCs/>
          <w:sz w:val="32"/>
          <w:szCs w:val="32"/>
        </w:rPr>
      </w:pPr>
      <w:r>
        <w:rPr>
          <w:rFonts w:hint="eastAsia" w:eastAsia="黑体" w:cs="黑体"/>
          <w:bCs/>
          <w:sz w:val="32"/>
          <w:szCs w:val="32"/>
        </w:rPr>
        <w:t>附件1</w:t>
      </w:r>
    </w:p>
    <w:p>
      <w:pPr>
        <w:spacing w:line="348" w:lineRule="auto"/>
        <w:jc w:val="center"/>
        <w:rPr>
          <w:rFonts w:hint="eastAsia" w:eastAsia="方正小标宋简体"/>
          <w:bCs/>
          <w:sz w:val="42"/>
          <w:szCs w:val="42"/>
        </w:rPr>
      </w:pP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靖州</w:t>
      </w:r>
      <w:r>
        <w:rPr>
          <w:rFonts w:hint="eastAsia" w:eastAsia="方正小标宋简体"/>
          <w:bCs/>
          <w:sz w:val="46"/>
          <w:szCs w:val="46"/>
          <w:lang w:eastAsia="zh-CN"/>
        </w:rPr>
        <w:t>县</w:t>
      </w:r>
      <w:r>
        <w:rPr>
          <w:rFonts w:hint="eastAsia" w:eastAsia="方正小标宋简体"/>
          <w:bCs/>
          <w:sz w:val="46"/>
          <w:szCs w:val="46"/>
          <w:u w:val="single"/>
        </w:rPr>
        <w:t xml:space="preserve">  </w:t>
      </w:r>
      <w:r>
        <w:rPr>
          <w:rFonts w:hint="eastAsia" w:eastAsia="方正小标宋简体"/>
          <w:bCs/>
          <w:sz w:val="46"/>
          <w:szCs w:val="46"/>
          <w:u w:val="single"/>
          <w:lang w:val="en-US" w:eastAsia="zh-CN"/>
        </w:rPr>
        <w:t>2022</w:t>
      </w:r>
      <w:r>
        <w:rPr>
          <w:rFonts w:hint="eastAsia" w:eastAsia="方正小标宋简体"/>
          <w:bCs/>
          <w:sz w:val="46"/>
          <w:szCs w:val="46"/>
          <w:u w:val="single"/>
        </w:rPr>
        <w:t xml:space="preserve">  </w:t>
      </w:r>
      <w:r>
        <w:rPr>
          <w:rFonts w:hint="eastAsia" w:eastAsia="方正小标宋简体"/>
          <w:bCs/>
          <w:sz w:val="46"/>
          <w:szCs w:val="46"/>
        </w:rPr>
        <w:t>年度部门（单位）整体支出</w:t>
      </w:r>
    </w:p>
    <w:p>
      <w:pPr>
        <w:spacing w:line="800" w:lineRule="exact"/>
        <w:jc w:val="center"/>
        <w:rPr>
          <w:rFonts w:hint="eastAsia" w:eastAsia="方正小标宋简体"/>
          <w:bCs/>
          <w:sz w:val="46"/>
          <w:szCs w:val="46"/>
        </w:rPr>
      </w:pPr>
      <w:r>
        <w:rPr>
          <w:rFonts w:hint="eastAsia" w:eastAsia="方正小标宋简体"/>
          <w:bCs/>
          <w:sz w:val="46"/>
          <w:szCs w:val="46"/>
        </w:rPr>
        <w:t>绩效评价自评报告</w:t>
      </w: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rPr>
          <w:rFonts w:hint="eastAsia" w:eastAsia="仿宋_GB2312"/>
          <w:b/>
          <w:sz w:val="32"/>
        </w:rPr>
      </w:pP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  <w:u w:val="single"/>
        </w:rPr>
      </w:pPr>
      <w:r>
        <w:rPr>
          <w:rFonts w:hint="eastAsia" w:eastAsia="仿宋_GB2312"/>
          <w:sz w:val="32"/>
        </w:rPr>
        <w:t>部门(单位)名称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eastAsia="仿宋_GB2312"/>
          <w:sz w:val="32"/>
          <w:u w:val="single"/>
          <w:lang w:eastAsia="zh-CN"/>
        </w:rPr>
        <w:t>靖州苗族侗族自治县中医医院</w:t>
      </w:r>
      <w:r>
        <w:rPr>
          <w:rFonts w:hint="eastAsia" w:eastAsia="仿宋_GB2312"/>
          <w:sz w:val="32"/>
          <w:u w:val="single"/>
        </w:rPr>
        <w:t xml:space="preserve">     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预算编码</w:t>
      </w:r>
      <w:r>
        <w:rPr>
          <w:rFonts w:hint="eastAsia" w:eastAsia="仿宋_GB2312"/>
          <w:sz w:val="32"/>
          <w:u w:val="single"/>
        </w:rPr>
        <w:t xml:space="preserve">         </w:t>
      </w:r>
      <w:r>
        <w:rPr>
          <w:rFonts w:hint="eastAsia" w:eastAsia="仿宋_GB2312"/>
          <w:sz w:val="32"/>
          <w:u w:val="single"/>
          <w:lang w:val="en-US" w:eastAsia="zh-CN"/>
        </w:rPr>
        <w:t>503008</w:t>
      </w:r>
      <w:r>
        <w:rPr>
          <w:rFonts w:hint="eastAsia" w:eastAsia="仿宋_GB2312"/>
          <w:sz w:val="32"/>
          <w:u w:val="single"/>
        </w:rPr>
        <w:t xml:space="preserve">                                 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="301" w:beforeLines="50" w:line="348" w:lineRule="auto"/>
        <w:ind w:firstLine="476" w:firstLineChars="15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line="348" w:lineRule="auto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ind w:firstLine="2188" w:firstLineChars="690"/>
        <w:rPr>
          <w:rFonts w:hint="eastAsia" w:eastAsia="仿宋_GB2312"/>
          <w:sz w:val="32"/>
        </w:rPr>
      </w:pPr>
    </w:p>
    <w:p>
      <w:pPr>
        <w:spacing w:line="348" w:lineRule="auto"/>
        <w:ind w:firstLine="2188" w:firstLineChars="690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报告日期：</w:t>
      </w:r>
      <w:r>
        <w:rPr>
          <w:rFonts w:hint="eastAsia" w:eastAsia="仿宋_GB2312"/>
          <w:sz w:val="32"/>
          <w:lang w:val="en-US" w:eastAsia="zh-CN"/>
        </w:rPr>
        <w:t>2023</w:t>
      </w:r>
      <w:r>
        <w:rPr>
          <w:rFonts w:hint="eastAsia" w:eastAsia="仿宋_GB2312"/>
          <w:sz w:val="32"/>
        </w:rPr>
        <w:t xml:space="preserve">年 </w:t>
      </w:r>
      <w:r>
        <w:rPr>
          <w:rFonts w:hint="eastAsia" w:eastAsia="仿宋_GB2312"/>
          <w:sz w:val="32"/>
          <w:lang w:val="en-US" w:eastAsia="zh-CN"/>
        </w:rPr>
        <w:t>2</w:t>
      </w:r>
      <w:r>
        <w:rPr>
          <w:rFonts w:hint="eastAsia" w:eastAsia="仿宋_GB2312"/>
          <w:sz w:val="32"/>
        </w:rPr>
        <w:t xml:space="preserve"> 月 </w:t>
      </w:r>
      <w:r>
        <w:rPr>
          <w:rFonts w:hint="eastAsia" w:eastAsia="仿宋_GB2312"/>
          <w:sz w:val="32"/>
          <w:lang w:val="en-US" w:eastAsia="zh-CN"/>
        </w:rPr>
        <w:t>22</w:t>
      </w:r>
      <w:r>
        <w:rPr>
          <w:rFonts w:hint="eastAsia" w:eastAsia="仿宋_GB2312"/>
          <w:sz w:val="32"/>
        </w:rPr>
        <w:t xml:space="preserve">  日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</w:rPr>
        <w:t>靖州县财政</w:t>
      </w:r>
      <w:r>
        <w:rPr>
          <w:rFonts w:hint="eastAsia" w:eastAsia="仿宋_GB2312"/>
          <w:sz w:val="32"/>
          <w:szCs w:val="32"/>
        </w:rPr>
        <w:t>局（制）</w:t>
      </w:r>
    </w:p>
    <w:p>
      <w:pPr>
        <w:autoSpaceDN w:val="0"/>
        <w:jc w:val="center"/>
        <w:textAlignment w:val="center"/>
        <w:rPr>
          <w:rFonts w:hint="eastAsia" w:eastAsia="仿宋_GB2312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1701" w:right="1361" w:bottom="1361" w:left="1587" w:header="851" w:footer="992" w:gutter="0"/>
          <w:pgNumType w:fmt="numberInDash" w:start="8"/>
          <w:cols w:space="720" w:num="1"/>
          <w:docGrid w:type="linesAndChars" w:linePitch="602" w:charSpace="-782"/>
        </w:sectPr>
      </w:pPr>
    </w:p>
    <w:tbl>
      <w:tblPr>
        <w:tblStyle w:val="6"/>
        <w:tblW w:w="96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392"/>
        <w:gridCol w:w="49"/>
        <w:gridCol w:w="477"/>
        <w:gridCol w:w="682"/>
        <w:gridCol w:w="57"/>
        <w:gridCol w:w="333"/>
        <w:gridCol w:w="720"/>
        <w:gridCol w:w="280"/>
        <w:gridCol w:w="1072"/>
        <w:gridCol w:w="412"/>
        <w:gridCol w:w="243"/>
        <w:gridCol w:w="24"/>
        <w:gridCol w:w="454"/>
        <w:gridCol w:w="260"/>
        <w:gridCol w:w="564"/>
        <w:gridCol w:w="103"/>
        <w:gridCol w:w="412"/>
        <w:gridCol w:w="7"/>
        <w:gridCol w:w="508"/>
        <w:gridCol w:w="41"/>
        <w:gridCol w:w="165"/>
        <w:gridCol w:w="261"/>
        <w:gridCol w:w="460"/>
        <w:gridCol w:w="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一、部门（单位）基本概况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肖琴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联络电话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15974058723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人员编制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140</w:t>
            </w:r>
          </w:p>
        </w:tc>
        <w:tc>
          <w:tcPr>
            <w:tcW w:w="1302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实有人数</w:t>
            </w:r>
          </w:p>
        </w:tc>
        <w:tc>
          <w:tcPr>
            <w:tcW w:w="2678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0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职能职责概述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right="0" w:firstLine="42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以中医中药为主，为人民身体健康提供中西医医疗、预防、保健、计划生育指导、康复等医疗卫生服务。贯彻落实医药卫生体制改革、中西医并重方针和国家中医药法律法规，执行中医药政策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拟定实施中医药、民族医药和中西医结合发展战略、规划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开展健康教育、承担预防保健相关工作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464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年度主要工作内容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right="0"/>
              <w:jc w:val="both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任务1：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确保全县人民中西医疗健康需求，建立与地方经济发展相适应的中西医结合医疗环境。加强中医医院标准化管理。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任务2：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指导全县各医疗机构发展中医药和中西医结合业务建设。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任务3：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发挥中医诊疗特色，立足重点专科，扎实推进内涵建设，持续提升核心竞争力，积极开展医联体建设，加快医改向纵深推进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hd w:val="clear" w:color="auto" w:fill="FFFFFF"/>
              <w:spacing w:before="0" w:beforeAutospacing="0" w:after="0" w:afterAutospacing="0" w:line="560" w:lineRule="atLeast"/>
              <w:ind w:right="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任务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4:承担意外灾害事故、疫情等突发公共卫生事件的医疗急救及社区预防、保健和康复医疗服务工作.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……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6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年度部门（单位）总体运行情况及取得的成绩</w:t>
            </w:r>
          </w:p>
        </w:tc>
        <w:tc>
          <w:tcPr>
            <w:tcW w:w="7779" w:type="dxa"/>
            <w:gridSpan w:val="21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hint="default" w:ascii="仿宋" w:hAnsi="仿宋" w:eastAsia="宋体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贯彻落实国家基本药物制度和药品集中采购工作，执行医用耗材集中采购工作</w:t>
            </w: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，考核合格率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98%；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出院诊断符合率≥95%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 xml:space="preserve">危重病人抢救成功率≥80%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 w:val="18"/>
                <w:szCs w:val="18"/>
              </w:rPr>
              <w:t>患者对医疗服务的满意度﹥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90%。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二、部门（单位）收支情况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年度收入情况（万元）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上年结转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公共财政拨款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政府基金拨款</w:t>
            </w: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纳入专户管理的非税收入拨款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2" w:hRule="atLeast"/>
        </w:trPr>
        <w:tc>
          <w:tcPr>
            <w:tcW w:w="1392" w:type="dxa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7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3944.96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702.88</w:t>
            </w: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3230.22</w:t>
            </w: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11.86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2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54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部门（单位）年度支出和结余情况（万元）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支出合计</w:t>
            </w:r>
          </w:p>
        </w:tc>
        <w:tc>
          <w:tcPr>
            <w:tcW w:w="5598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442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基本支出</w:t>
            </w:r>
          </w:p>
        </w:tc>
        <w:tc>
          <w:tcPr>
            <w:tcW w:w="3132" w:type="dxa"/>
            <w:gridSpan w:val="8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1133" w:type="dxa"/>
            <w:gridSpan w:val="5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项目支出</w:t>
            </w:r>
          </w:p>
        </w:tc>
        <w:tc>
          <w:tcPr>
            <w:tcW w:w="72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当年结余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累计结余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人员支出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公用支出</w:t>
            </w:r>
          </w:p>
        </w:tc>
        <w:tc>
          <w:tcPr>
            <w:tcW w:w="1133" w:type="dxa"/>
            <w:gridSpan w:val="5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3944.96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3944.96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2344.21</w:t>
            </w: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1600.75</w:t>
            </w: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48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2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三公经费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7040" w:type="dxa"/>
            <w:gridSpan w:val="19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公务接待费</w:t>
            </w: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公务用车运维费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公务用车购置费</w:t>
            </w: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因公出国费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2.87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2.87</w:t>
            </w: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3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51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0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56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1265" w:type="dxa"/>
            <w:gridSpan w:val="4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固定资产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</w:t>
            </w:r>
          </w:p>
        </w:tc>
        <w:tc>
          <w:tcPr>
            <w:tcW w:w="4877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</w:t>
            </w:r>
          </w:p>
        </w:tc>
        <w:tc>
          <w:tcPr>
            <w:tcW w:w="2163" w:type="dxa"/>
            <w:gridSpan w:val="7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5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在用固定资产</w:t>
            </w:r>
          </w:p>
        </w:tc>
        <w:tc>
          <w:tcPr>
            <w:tcW w:w="1793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出租固定资产</w:t>
            </w:r>
          </w:p>
        </w:tc>
        <w:tc>
          <w:tcPr>
            <w:tcW w:w="2163" w:type="dxa"/>
            <w:gridSpan w:val="7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局机关及二级机构汇总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74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1、局机关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2、二级机构1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4295.57</w:t>
            </w: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4295.57</w:t>
            </w: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5" w:hRule="atLeast"/>
        </w:trPr>
        <w:tc>
          <w:tcPr>
            <w:tcW w:w="1392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3、二级机构2</w:t>
            </w:r>
          </w:p>
        </w:tc>
        <w:tc>
          <w:tcPr>
            <w:tcW w:w="126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084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93" w:type="dxa"/>
            <w:gridSpan w:val="5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163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三、部门（单位）整体支出绩效自评情况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整体支出绩效定性目标及实施计划完成情况</w:t>
            </w:r>
          </w:p>
        </w:tc>
        <w:tc>
          <w:tcPr>
            <w:tcW w:w="4276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预期目标</w:t>
            </w:r>
          </w:p>
        </w:tc>
        <w:tc>
          <w:tcPr>
            <w:tcW w:w="3980" w:type="dxa"/>
            <w:gridSpan w:val="1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实际完成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73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76" w:type="dxa"/>
            <w:gridSpan w:val="9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预算收入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7880.57万元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门急诊人次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74620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目标3：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出院人次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6825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980" w:type="dxa"/>
            <w:gridSpan w:val="13"/>
            <w:noWrap w:val="0"/>
            <w:vAlign w:val="center"/>
          </w:tcPr>
          <w:p>
            <w:pPr>
              <w:numPr>
                <w:ilvl w:val="0"/>
                <w:numId w:val="2"/>
              </w:num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实际收入3944.96万元，完成率50%</w:t>
            </w:r>
          </w:p>
          <w:p>
            <w:pPr>
              <w:numPr>
                <w:ilvl w:val="0"/>
                <w:numId w:val="2"/>
              </w:num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实际人次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78067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，完成率105%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实际出院人次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4833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，完成率71%，受新冠疫情影响，医院医疗环境落后，住院病人显著下降。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441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整体支出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绩效定量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目标及实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施计划完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成情况</w:t>
            </w: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一级指标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二级指标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三级指标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指标值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完成情况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产出指标</w:t>
            </w: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门诊人次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人次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78067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出院人次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人次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4833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3：老年慢病健康体检人数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人次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3998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质量指标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预算收入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7880.57万元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万元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实际收入3944.96万元，完成率50%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医疗收费标准规范执行率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%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1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3：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重大医疗事故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时效指标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病患传呼响应时间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分钟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</w:rPr>
              <w:t>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2分钟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各项工作完成及时率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%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成本指标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各项成本支出合理合规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720" w:firstLineChars="3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% 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指标2：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各项基本支出控制额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万元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val="en-US" w:eastAsia="zh-CN"/>
              </w:rPr>
              <w:t>1600.75万元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restart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效益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1：医院收入及经营成果</w:t>
            </w:r>
          </w:p>
          <w:p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医院总收入比上年减少，2021年总收入4030.49万元，2022年总收入3944.96万元，相比降低2.1%，主要因新冠肺炎疫情及医院医疗环境落后影响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5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社会效益指标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指标1.为患者提供安全优质的医疗服务。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医疗服务质量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提高医疗服务质量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生态效益指标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医疗废弃物按标准排放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排放量在允许范围内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lang w:eastAsia="zh-CN"/>
              </w:rPr>
              <w:t>排放量在允许范围内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5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vMerge w:val="continue"/>
            <w:noWrap w:val="0"/>
            <w:vAlign w:val="center"/>
          </w:tcPr>
          <w:p>
            <w:pPr>
              <w:autoSpaceDN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可持续影响指标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480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5" w:hRule="atLeast"/>
        </w:trPr>
        <w:tc>
          <w:tcPr>
            <w:tcW w:w="1441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9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满意度指标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社会公众或服务对象满意度</w:t>
            </w:r>
          </w:p>
        </w:tc>
        <w:tc>
          <w:tcPr>
            <w:tcW w:w="2745" w:type="dxa"/>
            <w:gridSpan w:val="7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指标1：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患者满意度</w:t>
            </w:r>
          </w:p>
        </w:tc>
        <w:tc>
          <w:tcPr>
            <w:tcW w:w="1635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ind w:firstLine="482" w:firstLineChars="2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≥</w:t>
            </w:r>
          </w:p>
        </w:tc>
        <w:tc>
          <w:tcPr>
            <w:tcW w:w="1607" w:type="dxa"/>
            <w:gridSpan w:val="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≥90%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7" w:hRule="atLeast"/>
        </w:trPr>
        <w:tc>
          <w:tcPr>
            <w:tcW w:w="299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绩效自评综合得分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2" w:hRule="atLeast"/>
        </w:trPr>
        <w:tc>
          <w:tcPr>
            <w:tcW w:w="2990" w:type="dxa"/>
            <w:gridSpan w:val="6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评价等次</w:t>
            </w:r>
          </w:p>
        </w:tc>
        <w:tc>
          <w:tcPr>
            <w:tcW w:w="6707" w:type="dxa"/>
            <w:gridSpan w:val="1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8"/>
                <w:szCs w:val="28"/>
              </w:rPr>
              <w:t>四、评价人员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职务/职称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  位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签  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吴景波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院长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中医医院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黄旭光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副院长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中医医院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肖琴</w:t>
            </w: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会计</w:t>
            </w: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中医医院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0" w:hRule="atLeast"/>
        </w:trPr>
        <w:tc>
          <w:tcPr>
            <w:tcW w:w="1918" w:type="dxa"/>
            <w:gridSpan w:val="3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799" w:type="dxa"/>
            <w:gridSpan w:val="8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799" w:type="dxa"/>
            <w:gridSpan w:val="11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5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评价组组长（签字）：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225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部门（单位）意见：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部门（单位）负责人（签章）：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5" w:hRule="atLeast"/>
        </w:trPr>
        <w:tc>
          <w:tcPr>
            <w:tcW w:w="9697" w:type="dxa"/>
            <w:gridSpan w:val="24"/>
            <w:noWrap w:val="0"/>
            <w:vAlign w:val="center"/>
          </w:tcPr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财政部门归口业务科室负责人（签章）：</w:t>
            </w:r>
          </w:p>
          <w:p>
            <w:pPr>
              <w:autoSpaceDN w:val="0"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     年    月   日</w:t>
            </w:r>
          </w:p>
        </w:tc>
      </w:tr>
    </w:tbl>
    <w:p>
      <w:pPr>
        <w:rPr>
          <w:rFonts w:hint="eastAsia" w:eastAsia="仿宋_GB2312" w:cs="仿宋_GB2312"/>
          <w:bCs/>
          <w:sz w:val="28"/>
          <w:szCs w:val="28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                          联系电话：</w:t>
      </w:r>
    </w:p>
    <w:tbl>
      <w:tblPr>
        <w:tblStyle w:val="6"/>
        <w:tblW w:w="92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</w:trPr>
        <w:tc>
          <w:tcPr>
            <w:tcW w:w="927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五、评价报告综述（文字部分）</w:t>
            </w:r>
          </w:p>
          <w:p>
            <w:pPr>
              <w:spacing w:line="440" w:lineRule="exact"/>
              <w:ind w:firstLine="640" w:firstLineChars="2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一、部门（单位）概况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（一）部门（单位）基本情况</w:t>
            </w:r>
          </w:p>
          <w:p>
            <w:pPr>
              <w:pStyle w:val="10"/>
              <w:ind w:firstLine="640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我院属于财政差额拨款的事业单位，人员编制数为140人，实际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在编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为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人，人事代理人员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194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人，共有在职职工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294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人，退休职工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71</w:t>
            </w: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人。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床位编制200张，实际开放床位160张。是我县唯一的一所中医专科综合医院。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内设1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个职能科室：内科、骨外科、妇产科、针灸科、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  <w:lang w:eastAsia="zh-CN"/>
              </w:rPr>
              <w:t>康复治疗科、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8"/>
                <w:szCs w:val="28"/>
              </w:rPr>
              <w:t>门急诊、手术室、医技科、公卫科、药械科、体检科、办公室、医务科、护理部、财务科、保卫后勤。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部门（单位）整体支出规模、使用方向和主要内容、涉及范围等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我院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实际收入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3944.96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万元，其中财政补助实际收入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702.88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事业收入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3230.22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万元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，其他收入</w:t>
            </w: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11.86万元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本年实际支出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3944.96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其中工资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福利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支出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2340.77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，商品和服务支出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1495.15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，对个人和家庭的补助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3.44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万元，资本性支出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105.6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万元。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二、部门（单位）整体支出管理及使用情况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（一）基本支出</w:t>
            </w:r>
          </w:p>
          <w:p>
            <w:pPr>
              <w:widowControl/>
              <w:shd w:val="clear" w:color="auto" w:fill="FFFFFF"/>
              <w:spacing w:line="560" w:lineRule="exact"/>
              <w:ind w:firstLine="640"/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本年度总支出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3944.96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万元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均为本单位工作的正常人员经费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日常公用经费开支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没有违规情况。本单位在经费使用过程中严格执行相关会计制度和财务管理制度，量入为出，合理安排各项收支，精打细算，把有限的资金用在刀刃上，资金利用率达100%。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3"/>
              </w:numPr>
              <w:spacing w:line="400" w:lineRule="exact"/>
              <w:ind w:left="0" w:leftChars="0"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专项支出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本年度没有专项支出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三、部门（单位）专项组织实施情况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本年度没有专项支出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部门（单位）整体支出绩效情况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年与20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年三公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经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费比较情况：20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因新冠疫情影响，救护车运行维护费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eastAsia="zh-CN"/>
              </w:rPr>
              <w:t>比上年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eastAsia="zh-CN"/>
              </w:rPr>
              <w:t>增长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%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年度、20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8"/>
                <w:szCs w:val="28"/>
              </w:rPr>
              <w:t>年度均未发生因公出国（境）费用、公务用车购置费用。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numPr>
                <w:ilvl w:val="0"/>
                <w:numId w:val="4"/>
              </w:num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存在的主要问题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从这次的绩效自评结果看，我院项目实施情况整体良好，各科室工作积极主动，使资金发挥了其应有的经济及社会效益，当然也存在一些问题：</w:t>
            </w:r>
          </w:p>
          <w:p>
            <w:pPr>
              <w:numPr>
                <w:ilvl w:val="0"/>
                <w:numId w:val="5"/>
              </w:num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预算细化程度不够，造成了预算数与执行数的差异；</w:t>
            </w:r>
          </w:p>
          <w:p>
            <w:pPr>
              <w:numPr>
                <w:ilvl w:val="0"/>
                <w:numId w:val="5"/>
              </w:numPr>
              <w:spacing w:line="400" w:lineRule="exact"/>
              <w:ind w:left="0" w:leftChars="0" w:firstLine="560" w:firstLineChars="200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项目资金预算不足，无法解决设备简陋的问题，制约了医院的发展；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3．预算执行完成后的绩效管理还有待完善和加强。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六、改进措施和有关建议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firstLine="560" w:firstLineChars="20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通过20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333333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年度各项工作任务的开展，不断完善了我院医疗管理体制、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提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升了医疗服务能力，加大了服务力度，全面保证了辖区人民群众的身体健康。一年来，我院进一步强化领导干部和职工队伍的建设，强化医德医风、服务理念的转变，从业人员的医疗安全意识、法律意识、责任意识明显提高。与同时不断强化各项规章制度的建立健全，强化医疗质量、医疗安全的保障，有力的推动了卫生工作的深入开展，各项监管制度措施也得到了认真落实，信用体系建设、效能建设、廉政建设、政风行风建设、文明创建和创先争优活动取得了新的成效。</w:t>
            </w:r>
          </w:p>
          <w:p>
            <w:pPr>
              <w:spacing w:line="400" w:lineRule="exact"/>
              <w:ind w:firstLine="560" w:firstLineChars="200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</w:p>
          <w:p>
            <w:pPr>
              <w:rPr>
                <w:rFonts w:eastAsia="楷体_GB2312"/>
                <w:bCs/>
                <w:sz w:val="28"/>
                <w:szCs w:val="28"/>
              </w:rPr>
            </w:pPr>
          </w:p>
        </w:tc>
      </w:tr>
    </w:tbl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- 15 -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BF759"/>
    <w:multiLevelType w:val="singleLevel"/>
    <w:tmpl w:val="C72BF7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069001"/>
    <w:multiLevelType w:val="singleLevel"/>
    <w:tmpl w:val="CB069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F44254B"/>
    <w:multiLevelType w:val="multilevel"/>
    <w:tmpl w:val="1F44254B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2"/>
      <w:lvlJc w:val="left"/>
      <w:pPr>
        <w:tabs>
          <w:tab w:val="left" w:pos="576"/>
        </w:tabs>
        <w:ind w:left="576" w:hanging="576"/>
      </w:pPr>
      <w:rPr>
        <w:rFonts w:ascii="Times New Roman" w:hAnsi="Times New Roman" w:eastAsia="Times New Roman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3">
    <w:nsid w:val="6604A3AC"/>
    <w:multiLevelType w:val="singleLevel"/>
    <w:tmpl w:val="6604A3A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6A5DAEB5"/>
    <w:multiLevelType w:val="singleLevel"/>
    <w:tmpl w:val="6A5DAE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ZDlkMmNjZWUxODgyOWU3ZGM1YTNiZTk5ZDEyNzEifQ=="/>
  </w:docVars>
  <w:rsids>
    <w:rsidRoot w:val="00000000"/>
    <w:rsid w:val="07A32BE9"/>
    <w:rsid w:val="0D253FAE"/>
    <w:rsid w:val="0EDB2C38"/>
    <w:rsid w:val="18994551"/>
    <w:rsid w:val="19A62917"/>
    <w:rsid w:val="1C9D061D"/>
    <w:rsid w:val="1DCC4D7B"/>
    <w:rsid w:val="21EA4019"/>
    <w:rsid w:val="2A397BE0"/>
    <w:rsid w:val="2C8A099B"/>
    <w:rsid w:val="2CC338BC"/>
    <w:rsid w:val="32531B0F"/>
    <w:rsid w:val="33DD02D7"/>
    <w:rsid w:val="36337BDC"/>
    <w:rsid w:val="36D84C70"/>
    <w:rsid w:val="38382147"/>
    <w:rsid w:val="3C3A70F8"/>
    <w:rsid w:val="42EB5AE4"/>
    <w:rsid w:val="43BE445B"/>
    <w:rsid w:val="44961259"/>
    <w:rsid w:val="49483EEB"/>
    <w:rsid w:val="4CF338F1"/>
    <w:rsid w:val="4E924B4C"/>
    <w:rsid w:val="523E73BD"/>
    <w:rsid w:val="5324211F"/>
    <w:rsid w:val="532D328A"/>
    <w:rsid w:val="55F3567A"/>
    <w:rsid w:val="59CF3F7A"/>
    <w:rsid w:val="5AA46223"/>
    <w:rsid w:val="5F667F53"/>
    <w:rsid w:val="63FD44D6"/>
    <w:rsid w:val="670B6369"/>
    <w:rsid w:val="6B013289"/>
    <w:rsid w:val="6B761E0C"/>
    <w:rsid w:val="6C3674FC"/>
    <w:rsid w:val="71327787"/>
    <w:rsid w:val="757017EF"/>
    <w:rsid w:val="758422C5"/>
    <w:rsid w:val="75A8773A"/>
    <w:rsid w:val="7D39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2779</Words>
  <Characters>2855</Characters>
  <Lines>0</Lines>
  <Paragraphs>0</Paragraphs>
  <TotalTime>10</TotalTime>
  <ScaleCrop>false</ScaleCrop>
  <LinksUpToDate>false</LinksUpToDate>
  <CharactersWithSpaces>3315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2022-01-04T02:13:00Z</dcterms:created>
  <dc:creator>Administrator</dc:creator>
  <cp:lastModifiedBy>纯haha</cp:lastModifiedBy>
  <dcterms:modified xsi:type="dcterms:W3CDTF">2023-12-07T06:52:23Z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CDF91D1551E346DAA277E6184B66C396</vt:lpwstr>
  </property>
</Properties>
</file>