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靖州</w:t>
      </w:r>
      <w:r>
        <w:rPr>
          <w:rFonts w:hint="eastAsia" w:eastAsia="方正小标宋简体"/>
          <w:bCs/>
          <w:sz w:val="46"/>
          <w:szCs w:val="46"/>
          <w:lang w:eastAsia="zh-CN"/>
        </w:rPr>
        <w:t>县</w:t>
      </w:r>
      <w:r>
        <w:rPr>
          <w:rFonts w:hint="eastAsia" w:eastAsia="方正小标宋简体"/>
          <w:bCs/>
          <w:sz w:val="46"/>
          <w:szCs w:val="46"/>
          <w:u w:val="single"/>
        </w:rPr>
        <w:t xml:space="preserve">  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2022</w:t>
      </w:r>
      <w:r>
        <w:rPr>
          <w:rFonts w:hint="eastAsia" w:eastAsia="方正小标宋简体"/>
          <w:bCs/>
          <w:sz w:val="46"/>
          <w:szCs w:val="46"/>
          <w:u w:val="single"/>
        </w:rPr>
        <w:t xml:space="preserve">  </w:t>
      </w:r>
      <w:r>
        <w:rPr>
          <w:rFonts w:hint="eastAsia" w:eastAsia="方正小标宋简体"/>
          <w:bCs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eastAsia="zh-CN"/>
        </w:rPr>
        <w:t>靖州苗族侗族自治县中医医院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预算编码</w:t>
      </w:r>
      <w:r>
        <w:rPr>
          <w:rFonts w:hint="eastAsia"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  <w:lang w:val="en-US" w:eastAsia="zh-CN"/>
        </w:rPr>
        <w:t>503008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2023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靖州县财政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701" w:right="1361" w:bottom="1361" w:left="158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6"/>
        <w:tblW w:w="96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682"/>
        <w:gridCol w:w="57"/>
        <w:gridCol w:w="333"/>
        <w:gridCol w:w="720"/>
        <w:gridCol w:w="280"/>
        <w:gridCol w:w="1072"/>
        <w:gridCol w:w="412"/>
        <w:gridCol w:w="243"/>
        <w:gridCol w:w="24"/>
        <w:gridCol w:w="454"/>
        <w:gridCol w:w="260"/>
        <w:gridCol w:w="564"/>
        <w:gridCol w:w="103"/>
        <w:gridCol w:w="412"/>
        <w:gridCol w:w="7"/>
        <w:gridCol w:w="508"/>
        <w:gridCol w:w="41"/>
        <w:gridCol w:w="165"/>
        <w:gridCol w:w="261"/>
        <w:gridCol w:w="460"/>
        <w:gridCol w:w="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肖琴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15974058723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7779" w:type="dxa"/>
            <w:gridSpan w:val="21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560" w:lineRule="atLeast"/>
              <w:ind w:right="0"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以中医中药为主，为人民身体健康提供中西医医疗、预防、保健、计划生育指导、康复等医疗卫生服务。贯彻落实医药卫生体制改革、中西医并重方针和国家中医药法律法规，执行中医药政策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拟定实施中医药、民族医药和中西医结合发展战略、规划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开展健康教育、承担预防保健相关工作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7779" w:type="dxa"/>
            <w:gridSpan w:val="21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560" w:lineRule="atLeast"/>
              <w:ind w:right="0"/>
              <w:jc w:val="both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确保全县人民中西医疗健康需求，建立与地方经济发展相适应的中西医结合医疗环境。加强中医医院标准化管理。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指导全县各医疗机构发展中医药和中西医结合业务建设。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560" w:lineRule="atLeast"/>
              <w:ind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发挥中医诊疗特色，立足重点专科，扎实推进内涵建设，持续提升核心竞争力，积极开展医联体建设，加快医改向纵深推进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560" w:lineRule="atLeast"/>
              <w:ind w:right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任务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4:承担意外灾害事故、疫情等突发公共卫生事件的医疗急救及社区预防、保健和康复医疗服务工作.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7779" w:type="dxa"/>
            <w:gridSpan w:val="21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default" w:ascii="仿宋" w:hAnsi="仿宋" w:eastAsia="宋体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贯彻落实国家基本药物制度和药品集中采购工作，执行医用耗材集中采购工作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，考核合格率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98%；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出院诊断符合率≥95%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危重病人抢救成功率≥80%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患者对医疗服务的满意度﹥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90%。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40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3944.96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702.88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3230.22</w:t>
            </w: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5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598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133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133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3944.96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3944.96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2344.21</w:t>
            </w: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1600.75</w:t>
            </w: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40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2.87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2.87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4877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2163" w:type="dxa"/>
            <w:gridSpan w:val="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179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2163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9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4295.57</w:t>
            </w: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4295.57</w:t>
            </w: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3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3980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预算收入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7880.57万元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门急诊人次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74620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出院人次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6825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80" w:type="dxa"/>
            <w:gridSpan w:val="13"/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实际收入3944.96万元，完成率50%</w:t>
            </w:r>
          </w:p>
          <w:p>
            <w:pPr>
              <w:numPr>
                <w:ilvl w:val="0"/>
                <w:numId w:val="2"/>
              </w:num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实际人次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78067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，完成率105%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实际出院人次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4833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，完成率71%，受新冠疫情影响，医院医疗环境落后，住院病人显著下降。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目标及实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施计划完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成情况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一级指标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二级指标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三级指标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指标值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产出指标</w:t>
            </w: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门诊人次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人次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78067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出院人次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人次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4833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3：老年慢病健康体检人数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人次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质量指标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预算收入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7880.57万元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万元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实际收入3944.96万元，完成率50%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医疗收费标准规范执行率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%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重大医疗事故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时效指标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病患传呼响应时间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分钟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2分钟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各项工作完成及时率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%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成本指标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各项成本支出合理合规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72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% 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各项基本支出控制额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万元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1600.75万元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经济效益指标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1：医院收入及经营成果</w:t>
            </w:r>
          </w:p>
          <w:p>
            <w:pPr>
              <w:autoSpaceDN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医院总收入比上年减少，2021年总收入4030.49万元，2022年总收入3944.96万元，相比降低2.1%，主要因新冠肺炎疫情及医院医疗环境落后影响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社会效益指标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指标1.为患者提供安全优质的医疗服务。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医疗服务质量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提高医疗服务质量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生态效益指标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医疗废弃物按标准排放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排放量在允许范围内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排放量在允许范围内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可持续影响指标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5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满意度指标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45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患者满意度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ind w:firstLine="48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≥</w:t>
            </w:r>
          </w:p>
        </w:tc>
        <w:tc>
          <w:tcPr>
            <w:tcW w:w="1607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7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70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2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707" w:type="dxa"/>
            <w:gridSpan w:val="1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吴景波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院长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中医医院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黄旭光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副院长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中医医院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肖琴</w:t>
            </w: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会计</w:t>
            </w: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中医医院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11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95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5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75" w:hRule="atLeast"/>
        </w:trPr>
        <w:tc>
          <w:tcPr>
            <w:tcW w:w="9697" w:type="dxa"/>
            <w:gridSpan w:val="2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6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27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pStyle w:val="10"/>
              <w:ind w:firstLine="64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我院属于财政差额拨款的事业单位，人员编制数为140人，实际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在编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为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人，人事代理人员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194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人，共有在职职工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294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人，退休职工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71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人。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床位编制200张，实际开放床位160张。是我县唯一的一所中医专科综合医院。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内设1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个职能科室：内科、骨外科、妇产科、针灸科、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eastAsia="zh-CN"/>
              </w:rPr>
              <w:t>康复治疗科、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门急诊、手术室、医技科、公卫科、药械科、体检科、办公室、医务科、护理部、财务科、保卫后勤。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我院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实际收入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3944.96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万元，其中财政补助实际收入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702.88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事业收入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3230.22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万元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，其他收入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11.86万元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本年实际支出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3944.96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其中工资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福利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支出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2340.77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，商品和服务支出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1495.15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，对个人和家庭的补助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3.44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万元，资本性支出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105.6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万元。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widowControl/>
              <w:shd w:val="clear" w:color="auto" w:fill="FFFFFF"/>
              <w:spacing w:line="560" w:lineRule="exact"/>
              <w:ind w:firstLine="64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本年度总支出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3944.96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均为本单位工作的正常人员经费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日常公用经费开支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没有违规情况。本单位在经费使用过程中严格执行相关会计制度和财务管理制度，量入为出，合理安排各项收支，精打细算，把有限的资金用在刀刃上，资金利用率达100%。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3"/>
              </w:numPr>
              <w:spacing w:line="40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专项支出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本年度没有专项支出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本年度没有专项支出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年与20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年三公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费比较情况：20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因新冠疫情影响，救护车运行维护费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比上年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增长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年度、20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年度均未发生因公出国（境）费用、公务用车购置费用。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4"/>
              </w:num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从这次的绩效自评结果看，我院项目实施情况整体良好，各科室工作积极主动，使资金发挥了其应有的经济及社会效益，当然也存在一些问题：</w:t>
            </w:r>
          </w:p>
          <w:p>
            <w:pPr>
              <w:numPr>
                <w:ilvl w:val="0"/>
                <w:numId w:val="5"/>
              </w:num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预算细化程度不够，造成了预算数与执行数的差异；</w:t>
            </w:r>
          </w:p>
          <w:p>
            <w:pPr>
              <w:numPr>
                <w:ilvl w:val="0"/>
                <w:numId w:val="5"/>
              </w:numPr>
              <w:spacing w:line="400" w:lineRule="exact"/>
              <w:ind w:left="0" w:leftChars="0" w:firstLine="560" w:firstLineChars="200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项目资金预算不足，无法解决设备简陋的问题，制约了医院的发展；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3．预算执行完成后的绩效管理还有待完善和加强。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通过20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333333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年度各项工作任务的开展，不断完善了我院医疗管理体制、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提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升了医疗服务能力，加大了服务力度，全面保证了辖区人民群众的身体健康。一年来，我院进一步强化领导干部和职工队伍的建设，强化医德医风、服务理念的转变，从业人员的医疗安全意识、法律意识、责任意识明显提高。与同时不断强化各项规章制度的建立健全，强化医疗质量、医疗安全的保障，有力的推动了卫生工作的深入开展，各项监管制度措施也得到了认真落实，信用体系建设、效能建设、廉政建设、政风行风建设、文明创建和创先争优活动取得了新的成效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- 15 -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BF759"/>
    <w:multiLevelType w:val="singleLevel"/>
    <w:tmpl w:val="C72BF75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069001"/>
    <w:multiLevelType w:val="singleLevel"/>
    <w:tmpl w:val="CB069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F44254B"/>
    <w:multiLevelType w:val="multilevel"/>
    <w:tmpl w:val="1F44254B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2"/>
      <w:lvlJc w:val="left"/>
      <w:pPr>
        <w:tabs>
          <w:tab w:val="left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6604A3AC"/>
    <w:multiLevelType w:val="singleLevel"/>
    <w:tmpl w:val="6604A3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A5DAEB5"/>
    <w:multiLevelType w:val="singleLevel"/>
    <w:tmpl w:val="6A5DAE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DlkMmNjZWUxODgyOWU3ZGM1YTNiZTk5ZDEyNzEifQ=="/>
  </w:docVars>
  <w:rsids>
    <w:rsidRoot w:val="00000000"/>
    <w:rsid w:val="07A32BE9"/>
    <w:rsid w:val="0D253FAE"/>
    <w:rsid w:val="0EDB2C38"/>
    <w:rsid w:val="18994551"/>
    <w:rsid w:val="19A62917"/>
    <w:rsid w:val="1C9D061D"/>
    <w:rsid w:val="1DCC4D7B"/>
    <w:rsid w:val="21EA4019"/>
    <w:rsid w:val="2A397BE0"/>
    <w:rsid w:val="2C8A099B"/>
    <w:rsid w:val="2CC338BC"/>
    <w:rsid w:val="32531B0F"/>
    <w:rsid w:val="33DD02D7"/>
    <w:rsid w:val="36337BDC"/>
    <w:rsid w:val="36D84C70"/>
    <w:rsid w:val="38382147"/>
    <w:rsid w:val="3C3A70F8"/>
    <w:rsid w:val="42EB5AE4"/>
    <w:rsid w:val="43BE445B"/>
    <w:rsid w:val="44961259"/>
    <w:rsid w:val="49483EEB"/>
    <w:rsid w:val="4CF338F1"/>
    <w:rsid w:val="4E924B4C"/>
    <w:rsid w:val="523E73BD"/>
    <w:rsid w:val="5324211F"/>
    <w:rsid w:val="532D328A"/>
    <w:rsid w:val="55F3567A"/>
    <w:rsid w:val="59CF3F7A"/>
    <w:rsid w:val="5AA46223"/>
    <w:rsid w:val="5F667F53"/>
    <w:rsid w:val="63FD44D6"/>
    <w:rsid w:val="670B6369"/>
    <w:rsid w:val="6B013289"/>
    <w:rsid w:val="6B761E0C"/>
    <w:rsid w:val="6C3674FC"/>
    <w:rsid w:val="71327787"/>
    <w:rsid w:val="757017EF"/>
    <w:rsid w:val="758422C5"/>
    <w:rsid w:val="75A8773A"/>
    <w:rsid w:val="7D3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2779</Words>
  <Characters>2855</Characters>
  <Lines>0</Lines>
  <Paragraphs>0</Paragraphs>
  <TotalTime>10</TotalTime>
  <ScaleCrop>false</ScaleCrop>
  <LinksUpToDate>false</LinksUpToDate>
  <CharactersWithSpaces>3315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2022-01-04T02:13:00Z</dcterms:created>
  <dc:creator>Administrator</dc:creator>
  <cp:lastModifiedBy>纯haha</cp:lastModifiedBy>
  <dcterms:modified xsi:type="dcterms:W3CDTF">2023-12-07T06:52:23Z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CDF91D1551E346DAA277E6184B66C396</vt:lpwstr>
  </property>
</Properties>
</file>