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ind w:left="420" w:leftChars="0" w:firstLine="420" w:firstLineChars="0"/>
        <w:rPr>
          <w:rFonts w:hint="eastAsia" w:eastAsia="黑体" w:cs="黑体"/>
          <w:bCs/>
          <w:sz w:val="32"/>
          <w:szCs w:val="32"/>
        </w:rPr>
      </w:pPr>
      <w:r>
        <w:rPr>
          <w:rFonts w:hint="eastAsia" w:eastAsia="黑体" w:cs="黑体"/>
          <w:bCs/>
          <w:sz w:val="32"/>
          <w:szCs w:val="32"/>
        </w:rPr>
        <w:t>附件1</w:t>
      </w:r>
    </w:p>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rPr>
        <w:t>靖州</w:t>
      </w:r>
      <w:r>
        <w:rPr>
          <w:rFonts w:hint="eastAsia" w:eastAsia="方正小标宋简体"/>
          <w:bCs/>
          <w:sz w:val="46"/>
          <w:szCs w:val="46"/>
          <w:lang w:eastAsia="zh-CN"/>
        </w:rPr>
        <w:t>县</w:t>
      </w:r>
      <w:r>
        <w:rPr>
          <w:rFonts w:hint="eastAsia" w:eastAsia="方正小标宋简体"/>
          <w:bCs/>
          <w:sz w:val="46"/>
          <w:szCs w:val="46"/>
          <w:u w:val="single"/>
          <w:lang w:val="en-US" w:eastAsia="zh-CN"/>
        </w:rPr>
        <w:t>2022</w:t>
      </w:r>
      <w:r>
        <w:rPr>
          <w:rFonts w:hint="eastAsia" w:eastAsia="方正小标宋简体"/>
          <w:bCs/>
          <w:sz w:val="46"/>
          <w:szCs w:val="46"/>
        </w:rPr>
        <w:t>年度部门（单位）整体支出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u w:val="single"/>
        </w:rPr>
      </w:pPr>
      <w:r>
        <w:rPr>
          <w:rFonts w:hint="eastAsia" w:eastAsia="仿宋_GB2312"/>
          <w:sz w:val="32"/>
        </w:rPr>
        <w:t>部门(单位)名称</w:t>
      </w:r>
      <w:r>
        <w:rPr>
          <w:rFonts w:hint="eastAsia" w:eastAsia="仿宋_GB2312"/>
          <w:sz w:val="32"/>
          <w:u w:val="single"/>
        </w:rPr>
        <w:t xml:space="preserve">       </w:t>
      </w:r>
      <w:r>
        <w:rPr>
          <w:rFonts w:hint="eastAsia" w:eastAsia="仿宋_GB2312"/>
          <w:sz w:val="32"/>
          <w:u w:val="single"/>
          <w:lang w:eastAsia="zh-CN"/>
        </w:rPr>
        <w:t>怀化市生态环境局靖州分局</w:t>
      </w:r>
      <w:r>
        <w:rPr>
          <w:rFonts w:hint="eastAsia" w:eastAsia="仿宋_GB2312"/>
          <w:sz w:val="32"/>
          <w:u w:val="single"/>
        </w:rPr>
        <w:t xml:space="preserve">            </w:t>
      </w:r>
    </w:p>
    <w:p>
      <w:pPr>
        <w:spacing w:before="301" w:beforeLines="50" w:line="348" w:lineRule="auto"/>
        <w:ind w:firstLine="476" w:firstLineChars="150"/>
        <w:rPr>
          <w:rFonts w:hint="eastAsia" w:eastAsia="仿宋_GB2312"/>
          <w:sz w:val="32"/>
        </w:rPr>
      </w:pPr>
      <w:r>
        <w:rPr>
          <w:rFonts w:hint="eastAsia" w:eastAsia="仿宋_GB2312"/>
          <w:sz w:val="32"/>
        </w:rPr>
        <w:t>预算编码</w:t>
      </w:r>
      <w:r>
        <w:rPr>
          <w:rFonts w:hint="eastAsia" w:eastAsia="仿宋_GB2312"/>
          <w:sz w:val="32"/>
          <w:u w:val="single"/>
        </w:rPr>
        <w:t xml:space="preserve">                </w:t>
      </w:r>
      <w:r>
        <w:rPr>
          <w:rFonts w:hint="eastAsia" w:eastAsia="仿宋_GB2312"/>
          <w:sz w:val="32"/>
          <w:u w:val="single"/>
          <w:lang w:val="en-US" w:eastAsia="zh-CN"/>
        </w:rPr>
        <w:t>409</w:t>
      </w:r>
      <w:r>
        <w:rPr>
          <w:rFonts w:hint="eastAsia" w:eastAsia="仿宋_GB2312"/>
          <w:sz w:val="32"/>
          <w:u w:val="single"/>
        </w:rPr>
        <w:t xml:space="preserve">                     </w:t>
      </w:r>
    </w:p>
    <w:p>
      <w:pPr>
        <w:spacing w:before="301" w:beforeLines="50" w:line="348" w:lineRule="auto"/>
        <w:ind w:firstLine="476"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before="301" w:beforeLines="50" w:line="348" w:lineRule="auto"/>
        <w:ind w:firstLine="476" w:firstLineChars="150"/>
        <w:rPr>
          <w:rFonts w:hint="eastAsia" w:eastAsia="仿宋_GB2312"/>
          <w:sz w:val="32"/>
        </w:rPr>
      </w:pPr>
      <w:r>
        <w:rPr>
          <w:rFonts w:hint="eastAsia" w:eastAsia="仿宋_GB2312"/>
          <w:sz w:val="32"/>
          <w:szCs w:val="32"/>
        </w:rPr>
        <w:t>评价机构：</w:t>
      </w:r>
      <w:r>
        <w:rPr>
          <w:rFonts w:hint="eastAsia" w:eastAsia="仿宋_GB2312"/>
          <w:sz w:val="28"/>
          <w:szCs w:val="28"/>
        </w:rPr>
        <w:t xml:space="preserve">部门（单位）评价组   </w:t>
      </w:r>
    </w:p>
    <w:p>
      <w:pPr>
        <w:spacing w:line="348" w:lineRule="auto"/>
        <w:ind w:firstLine="2188" w:firstLineChars="690"/>
        <w:rPr>
          <w:rFonts w:hint="eastAsia" w:eastAsia="仿宋_GB2312"/>
          <w:sz w:val="32"/>
        </w:rPr>
      </w:pPr>
    </w:p>
    <w:p>
      <w:pPr>
        <w:spacing w:line="348" w:lineRule="auto"/>
        <w:ind w:firstLine="2188" w:firstLineChars="690"/>
        <w:rPr>
          <w:rFonts w:hint="eastAsia" w:eastAsia="仿宋_GB2312"/>
          <w:sz w:val="32"/>
        </w:rPr>
      </w:pPr>
    </w:p>
    <w:p>
      <w:pPr>
        <w:spacing w:line="348" w:lineRule="auto"/>
        <w:ind w:firstLine="2188" w:firstLineChars="690"/>
        <w:rPr>
          <w:rFonts w:hint="eastAsia" w:eastAsia="仿宋_GB2312"/>
          <w:sz w:val="32"/>
        </w:rPr>
      </w:pPr>
      <w:r>
        <w:rPr>
          <w:rFonts w:hint="eastAsia" w:eastAsia="仿宋_GB2312"/>
          <w:sz w:val="32"/>
        </w:rPr>
        <w:t>报告日期：</w:t>
      </w:r>
      <w:r>
        <w:rPr>
          <w:rFonts w:hint="eastAsia" w:eastAsia="仿宋_GB2312"/>
          <w:sz w:val="32"/>
          <w:lang w:val="en-US" w:eastAsia="zh-CN"/>
        </w:rPr>
        <w:t>2023</w:t>
      </w:r>
      <w:r>
        <w:rPr>
          <w:rFonts w:hint="eastAsia" w:eastAsia="仿宋_GB2312"/>
          <w:sz w:val="32"/>
        </w:rPr>
        <w:t>年</w:t>
      </w:r>
      <w:r>
        <w:rPr>
          <w:rFonts w:hint="eastAsia" w:eastAsia="仿宋_GB2312"/>
          <w:sz w:val="32"/>
          <w:lang w:val="en-US" w:eastAsia="zh-CN"/>
        </w:rPr>
        <w:t>2</w:t>
      </w:r>
      <w:r>
        <w:rPr>
          <w:rFonts w:hint="eastAsia" w:eastAsia="仿宋_GB2312"/>
          <w:sz w:val="32"/>
        </w:rPr>
        <w:t>月</w:t>
      </w:r>
      <w:r>
        <w:rPr>
          <w:rFonts w:hint="eastAsia" w:eastAsia="仿宋_GB2312"/>
          <w:sz w:val="32"/>
          <w:lang w:val="en-US" w:eastAsia="zh-CN"/>
        </w:rPr>
        <w:t>15</w:t>
      </w:r>
      <w:r>
        <w:rPr>
          <w:rFonts w:hint="eastAsia" w:eastAsia="仿宋_GB2312"/>
          <w:sz w:val="32"/>
        </w:rPr>
        <w:t>日</w:t>
      </w:r>
    </w:p>
    <w:p>
      <w:pPr>
        <w:autoSpaceDN w:val="0"/>
        <w:jc w:val="center"/>
        <w:textAlignment w:val="center"/>
        <w:rPr>
          <w:rFonts w:hint="eastAsia" w:eastAsia="仿宋_GB2312"/>
          <w:sz w:val="32"/>
          <w:szCs w:val="32"/>
        </w:rPr>
      </w:pPr>
      <w:r>
        <w:rPr>
          <w:rFonts w:hint="eastAsia" w:eastAsia="仿宋_GB2312"/>
          <w:sz w:val="32"/>
        </w:rPr>
        <w:t>靖州县财政</w:t>
      </w:r>
      <w:r>
        <w:rPr>
          <w:rFonts w:hint="eastAsia" w:eastAsia="仿宋_GB2312"/>
          <w:sz w:val="32"/>
          <w:szCs w:val="32"/>
        </w:rPr>
        <w:t>局（制）</w:t>
      </w:r>
    </w:p>
    <w:p>
      <w:pPr>
        <w:autoSpaceDN w:val="0"/>
        <w:jc w:val="center"/>
        <w:textAlignment w:val="center"/>
        <w:rPr>
          <w:rFonts w:hint="eastAsia" w:eastAsia="仿宋_GB2312"/>
          <w:sz w:val="32"/>
          <w:szCs w:val="32"/>
        </w:rPr>
        <w:sectPr>
          <w:headerReference r:id="rId3" w:type="default"/>
          <w:footerReference r:id="rId4" w:type="even"/>
          <w:pgSz w:w="11906" w:h="16838"/>
          <w:pgMar w:top="1701" w:right="1361" w:bottom="1361" w:left="1587" w:header="851" w:footer="992" w:gutter="0"/>
          <w:pgNumType w:fmt="numberInDash" w:start="8"/>
          <w:cols w:space="720" w:num="1"/>
          <w:docGrid w:type="linesAndChars" w:linePitch="602" w:charSpace="-782"/>
        </w:sectPr>
      </w:pPr>
    </w:p>
    <w:tbl>
      <w:tblPr>
        <w:tblStyle w:val="7"/>
        <w:tblW w:w="96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392"/>
        <w:gridCol w:w="49"/>
        <w:gridCol w:w="477"/>
        <w:gridCol w:w="682"/>
        <w:gridCol w:w="57"/>
        <w:gridCol w:w="333"/>
        <w:gridCol w:w="720"/>
        <w:gridCol w:w="280"/>
        <w:gridCol w:w="1072"/>
        <w:gridCol w:w="412"/>
        <w:gridCol w:w="243"/>
        <w:gridCol w:w="24"/>
        <w:gridCol w:w="454"/>
        <w:gridCol w:w="260"/>
        <w:gridCol w:w="564"/>
        <w:gridCol w:w="103"/>
        <w:gridCol w:w="412"/>
        <w:gridCol w:w="7"/>
        <w:gridCol w:w="508"/>
        <w:gridCol w:w="41"/>
        <w:gridCol w:w="165"/>
        <w:gridCol w:w="261"/>
        <w:gridCol w:w="460"/>
        <w:gridCol w:w="7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918"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799" w:type="dxa"/>
            <w:gridSpan w:val="8"/>
            <w:noWrap w:val="0"/>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曾东明</w:t>
            </w:r>
          </w:p>
        </w:tc>
        <w:tc>
          <w:tcPr>
            <w:tcW w:w="1302"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678" w:type="dxa"/>
            <w:gridSpan w:val="9"/>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18075576050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12" w:hRule="atLeast"/>
        </w:trPr>
        <w:tc>
          <w:tcPr>
            <w:tcW w:w="1918"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799" w:type="dxa"/>
            <w:gridSpan w:val="8"/>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29</w:t>
            </w:r>
          </w:p>
        </w:tc>
        <w:tc>
          <w:tcPr>
            <w:tcW w:w="1302"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678" w:type="dxa"/>
            <w:gridSpan w:val="9"/>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55" w:hRule="atLeast"/>
        </w:trPr>
        <w:tc>
          <w:tcPr>
            <w:tcW w:w="1918"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7779" w:type="dxa"/>
            <w:gridSpan w:val="21"/>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 w:hAnsi="仿宋" w:eastAsia="仿宋"/>
                <w:lang w:val="zh-CN"/>
              </w:rPr>
              <w:t>负责建立健全全县环境保护基本制度；负责重大环境问题的统筹协调和监督管理；承担落实全县减排目标的责任；承担从源头上预防、控制环境污染和环境破坏的责任；负责全县环境污染防治的监督管理；指导、协调、监督全县生态保护工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89" w:hRule="atLeast"/>
        </w:trPr>
        <w:tc>
          <w:tcPr>
            <w:tcW w:w="1918"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年度主要工作内容</w:t>
            </w:r>
          </w:p>
        </w:tc>
        <w:tc>
          <w:tcPr>
            <w:tcW w:w="7779" w:type="dxa"/>
            <w:gridSpan w:val="21"/>
            <w:noWrap w:val="0"/>
            <w:vAlign w:val="center"/>
          </w:tcPr>
          <w:p>
            <w:pPr>
              <w:autoSpaceDN w:val="0"/>
              <w:spacing w:line="400" w:lineRule="exact"/>
              <w:jc w:val="left"/>
              <w:textAlignment w:val="center"/>
              <w:rPr>
                <w:rFonts w:hint="eastAsia" w:ascii="仿宋" w:hAnsi="仿宋" w:eastAsia="仿宋"/>
                <w:lang w:val="zh-CN"/>
              </w:rPr>
            </w:pPr>
            <w:r>
              <w:rPr>
                <w:rFonts w:hint="eastAsia" w:ascii="仿宋" w:hAnsi="仿宋" w:eastAsia="仿宋"/>
                <w:lang w:val="zh-CN"/>
              </w:rPr>
              <w:t xml:space="preserve">任务1：完成国家重点生态功能区（县）环境质量考核任务。 </w:t>
            </w:r>
          </w:p>
          <w:p>
            <w:pPr>
              <w:autoSpaceDN w:val="0"/>
              <w:spacing w:line="400" w:lineRule="exact"/>
              <w:jc w:val="left"/>
              <w:textAlignment w:val="center"/>
              <w:rPr>
                <w:rFonts w:hint="eastAsia" w:ascii="仿宋" w:hAnsi="仿宋" w:eastAsia="仿宋"/>
                <w:lang w:val="zh-CN"/>
              </w:rPr>
            </w:pPr>
            <w:r>
              <w:rPr>
                <w:rFonts w:hint="eastAsia" w:ascii="仿宋" w:hAnsi="仿宋" w:eastAsia="仿宋"/>
                <w:lang w:val="zh-CN"/>
              </w:rPr>
              <w:t>任务2：完成</w:t>
            </w:r>
            <w:r>
              <w:rPr>
                <w:rFonts w:hint="eastAsia" w:ascii="仿宋" w:hAnsi="仿宋" w:eastAsia="仿宋"/>
                <w:lang w:val="en-US" w:eastAsia="zh-CN"/>
              </w:rPr>
              <w:t>污染防治攻坚战各项工作任务</w:t>
            </w:r>
            <w:r>
              <w:rPr>
                <w:rFonts w:hint="eastAsia" w:ascii="仿宋" w:hAnsi="仿宋" w:eastAsia="仿宋"/>
                <w:lang w:val="zh-CN"/>
              </w:rPr>
              <w:t>。</w:t>
            </w:r>
          </w:p>
          <w:p>
            <w:pPr>
              <w:autoSpaceDN w:val="0"/>
              <w:spacing w:line="400" w:lineRule="exact"/>
              <w:jc w:val="left"/>
              <w:textAlignment w:val="center"/>
              <w:rPr>
                <w:rFonts w:hint="eastAsia" w:ascii="仿宋" w:hAnsi="仿宋" w:eastAsia="仿宋"/>
                <w:lang w:val="zh-CN"/>
              </w:rPr>
            </w:pPr>
            <w:r>
              <w:rPr>
                <w:rFonts w:hint="eastAsia" w:ascii="仿宋" w:hAnsi="仿宋" w:eastAsia="仿宋"/>
                <w:lang w:val="zh-CN"/>
              </w:rPr>
              <w:t>任务3：完成20</w:t>
            </w:r>
            <w:r>
              <w:rPr>
                <w:rFonts w:hint="eastAsia" w:ascii="仿宋" w:hAnsi="仿宋" w:eastAsia="仿宋"/>
                <w:lang w:val="en-US" w:eastAsia="zh-CN"/>
              </w:rPr>
              <w:t>22</w:t>
            </w:r>
            <w:r>
              <w:rPr>
                <w:rFonts w:hint="eastAsia" w:ascii="仿宋" w:hAnsi="仿宋" w:eastAsia="仿宋"/>
                <w:lang w:val="zh-CN"/>
              </w:rPr>
              <w:t>年怀化市县级环境监测工作任务。</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 w:hAnsi="仿宋" w:eastAsia="仿宋"/>
                <w:lang w:val="zh-CN"/>
              </w:rPr>
              <w:t>任务4：完成各类责任书中各项工作任务。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trPr>
        <w:tc>
          <w:tcPr>
            <w:tcW w:w="1918"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年度部门（单位）总体运行情况及取得的成绩</w:t>
            </w:r>
          </w:p>
        </w:tc>
        <w:tc>
          <w:tcPr>
            <w:tcW w:w="7779" w:type="dxa"/>
            <w:gridSpan w:val="21"/>
            <w:noWrap w:val="0"/>
            <w:vAlign w:val="center"/>
          </w:tcPr>
          <w:p>
            <w:pPr>
              <w:autoSpaceDN w:val="0"/>
              <w:spacing w:line="400" w:lineRule="exact"/>
              <w:jc w:val="left"/>
              <w:textAlignment w:val="center"/>
              <w:rPr>
                <w:rFonts w:hint="eastAsia" w:ascii="仿宋" w:hAnsi="仿宋" w:eastAsia="仿宋" w:cs="Times New Roman"/>
                <w:lang w:val="zh-CN" w:eastAsia="zh-CN"/>
              </w:rPr>
            </w:pPr>
            <w:r>
              <w:rPr>
                <w:rFonts w:hint="eastAsia" w:ascii="仿宋" w:hAnsi="仿宋" w:eastAsia="仿宋"/>
                <w:lang w:val="en-US" w:eastAsia="zh-CN"/>
              </w:rPr>
              <w:t>1、</w:t>
            </w:r>
            <w:r>
              <w:rPr>
                <w:rFonts w:hint="eastAsia" w:ascii="仿宋" w:hAnsi="仿宋" w:eastAsia="仿宋" w:cs="Times New Roman"/>
                <w:lang w:val="en-US" w:eastAsia="zh-CN"/>
              </w:rPr>
              <w:t>打好打赢污染防治攻坚战。</w:t>
            </w:r>
          </w:p>
          <w:p>
            <w:pPr>
              <w:autoSpaceDN w:val="0"/>
              <w:spacing w:line="400" w:lineRule="exact"/>
              <w:jc w:val="left"/>
              <w:textAlignment w:val="center"/>
              <w:rPr>
                <w:rFonts w:hint="eastAsia" w:ascii="仿宋" w:hAnsi="仿宋" w:eastAsia="仿宋" w:cs="Times New Roman"/>
                <w:lang w:val="en-US" w:eastAsia="zh-CN"/>
              </w:rPr>
            </w:pPr>
            <w:r>
              <w:rPr>
                <w:rFonts w:hint="eastAsia" w:ascii="仿宋" w:hAnsi="仿宋" w:eastAsia="仿宋" w:cs="Times New Roman"/>
                <w:lang w:val="en-US" w:eastAsia="zh-CN"/>
              </w:rPr>
              <w:t>2、认真落实中央、省、市环保督察交办件及省、市巡查问题整改。</w:t>
            </w:r>
          </w:p>
          <w:p>
            <w:pPr>
              <w:autoSpaceDN w:val="0"/>
              <w:spacing w:line="400" w:lineRule="exact"/>
              <w:jc w:val="left"/>
              <w:textAlignment w:val="center"/>
              <w:rPr>
                <w:rFonts w:hint="eastAsia" w:ascii="仿宋" w:hAnsi="仿宋" w:eastAsia="仿宋" w:cs="Times New Roman"/>
                <w:lang w:val="en-US" w:eastAsia="zh-CN"/>
              </w:rPr>
            </w:pPr>
            <w:r>
              <w:rPr>
                <w:rFonts w:hint="eastAsia" w:ascii="仿宋" w:hAnsi="仿宋" w:eastAsia="仿宋" w:cs="Times New Roman"/>
                <w:lang w:val="en-US" w:eastAsia="zh-CN"/>
              </w:rPr>
              <w:t>3、</w:t>
            </w:r>
            <w:r>
              <w:rPr>
                <w:rFonts w:hint="eastAsia" w:ascii="仿宋" w:hAnsi="仿宋" w:eastAsia="仿宋" w:cs="Times New Roman"/>
                <w:lang w:val="zh-CN"/>
              </w:rPr>
              <w:t>环评审批严格高效</w:t>
            </w:r>
            <w:r>
              <w:rPr>
                <w:rFonts w:hint="eastAsia" w:ascii="仿宋" w:hAnsi="仿宋" w:eastAsia="仿宋" w:cs="Times New Roman"/>
                <w:lang w:val="en-US" w:eastAsia="zh-CN"/>
              </w:rPr>
              <w:t xml:space="preserve"> </w:t>
            </w:r>
          </w:p>
          <w:p>
            <w:pPr>
              <w:autoSpaceDN w:val="0"/>
              <w:spacing w:line="400" w:lineRule="exact"/>
              <w:jc w:val="left"/>
              <w:textAlignment w:val="center"/>
              <w:rPr>
                <w:rFonts w:hint="eastAsia" w:ascii="仿宋" w:hAnsi="仿宋" w:eastAsia="仿宋" w:cs="Times New Roman"/>
                <w:lang w:val="zh-CN"/>
              </w:rPr>
            </w:pPr>
            <w:r>
              <w:rPr>
                <w:rFonts w:hint="eastAsia" w:ascii="仿宋" w:hAnsi="仿宋" w:eastAsia="仿宋" w:cs="Times New Roman"/>
                <w:lang w:val="en-US" w:eastAsia="zh-CN"/>
              </w:rPr>
              <w:t>4、</w:t>
            </w:r>
            <w:r>
              <w:rPr>
                <w:rFonts w:hint="eastAsia" w:ascii="仿宋" w:hAnsi="仿宋" w:eastAsia="仿宋" w:cs="Times New Roman"/>
                <w:lang w:val="zh-CN" w:eastAsia="zh-CN"/>
              </w:rPr>
              <w:t>巡查</w:t>
            </w:r>
            <w:r>
              <w:rPr>
                <w:rFonts w:hint="eastAsia" w:ascii="仿宋" w:hAnsi="仿宋" w:eastAsia="仿宋" w:cs="Times New Roman"/>
                <w:lang w:val="zh-CN"/>
              </w:rPr>
              <w:t>监管切实加强</w:t>
            </w:r>
          </w:p>
          <w:p>
            <w:pPr>
              <w:autoSpaceDN w:val="0"/>
              <w:spacing w:line="400" w:lineRule="exact"/>
              <w:jc w:val="left"/>
              <w:textAlignment w:val="center"/>
              <w:rPr>
                <w:rFonts w:hint="eastAsia" w:ascii="仿宋" w:hAnsi="仿宋" w:eastAsia="仿宋" w:cs="Times New Roman"/>
                <w:lang w:val="zh-CN"/>
              </w:rPr>
            </w:pPr>
            <w:r>
              <w:rPr>
                <w:rFonts w:hint="eastAsia" w:ascii="仿宋" w:hAnsi="仿宋" w:eastAsia="仿宋" w:cs="Times New Roman"/>
                <w:lang w:val="en-US" w:eastAsia="zh-CN"/>
              </w:rPr>
              <w:t>5、扎实开展生态文明示范创建</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 w:hAnsi="仿宋" w:eastAsia="仿宋" w:cs="Times New Roman"/>
                <w:lang w:val="en-US" w:eastAsia="zh-CN"/>
              </w:rPr>
              <w:t>5、</w:t>
            </w:r>
            <w:r>
              <w:rPr>
                <w:rFonts w:hint="eastAsia" w:ascii="仿宋" w:hAnsi="仿宋" w:eastAsia="仿宋" w:cs="Times New Roman"/>
                <w:lang w:val="zh-CN" w:eastAsia="zh-CN"/>
              </w:rPr>
              <w:t>环保宣传不断深化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392" w:type="dxa"/>
            <w:vMerge w:val="restart"/>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265" w:type="dxa"/>
            <w:gridSpan w:val="4"/>
            <w:vMerge w:val="restart"/>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40" w:type="dxa"/>
            <w:gridSpan w:val="19"/>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392" w:type="dxa"/>
            <w:vMerge w:val="continue"/>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265" w:type="dxa"/>
            <w:gridSpan w:val="4"/>
            <w:vMerge w:val="continue"/>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72" w:type="dxa"/>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公共财政拨款</w:t>
            </w:r>
          </w:p>
        </w:tc>
        <w:tc>
          <w:tcPr>
            <w:tcW w:w="1133"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54"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648" w:type="dxa"/>
            <w:gridSpan w:val="5"/>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2" w:hRule="atLeast"/>
        </w:trPr>
        <w:tc>
          <w:tcPr>
            <w:tcW w:w="1392" w:type="dxa"/>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265" w:type="dxa"/>
            <w:gridSpan w:val="4"/>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1357.50</w:t>
            </w:r>
          </w:p>
        </w:tc>
        <w:tc>
          <w:tcPr>
            <w:tcW w:w="1333" w:type="dxa"/>
            <w:gridSpan w:val="3"/>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c>
          <w:tcPr>
            <w:tcW w:w="1072" w:type="dxa"/>
            <w:noWrap w:val="0"/>
            <w:vAlign w:val="center"/>
          </w:tcPr>
          <w:p>
            <w:pPr>
              <w:autoSpaceDN w:val="0"/>
              <w:spacing w:line="40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1357.50</w:t>
            </w:r>
          </w:p>
        </w:tc>
        <w:tc>
          <w:tcPr>
            <w:tcW w:w="1133"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c>
          <w:tcPr>
            <w:tcW w:w="1854"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c>
          <w:tcPr>
            <w:tcW w:w="1648" w:type="dxa"/>
            <w:gridSpan w:val="5"/>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trPr>
        <w:tc>
          <w:tcPr>
            <w:tcW w:w="1392" w:type="dxa"/>
            <w:noWrap w:val="0"/>
            <w:vAlign w:val="center"/>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265" w:type="dxa"/>
            <w:gridSpan w:val="4"/>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1357.50</w:t>
            </w:r>
          </w:p>
        </w:tc>
        <w:tc>
          <w:tcPr>
            <w:tcW w:w="1333" w:type="dxa"/>
            <w:gridSpan w:val="3"/>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c>
          <w:tcPr>
            <w:tcW w:w="1072" w:type="dxa"/>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1357.50</w:t>
            </w:r>
          </w:p>
        </w:tc>
        <w:tc>
          <w:tcPr>
            <w:tcW w:w="1133"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c>
          <w:tcPr>
            <w:tcW w:w="1854"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c>
          <w:tcPr>
            <w:tcW w:w="1648" w:type="dxa"/>
            <w:gridSpan w:val="5"/>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9697" w:type="dxa"/>
            <w:gridSpan w:val="2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restart"/>
            <w:noWrap w:val="0"/>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265" w:type="dxa"/>
            <w:gridSpan w:val="4"/>
            <w:vMerge w:val="restart"/>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598" w:type="dxa"/>
            <w:gridSpan w:val="16"/>
            <w:tcBorders>
              <w:left w:val="single" w:color="auto" w:sz="4" w:space="0"/>
              <w:bottom w:val="single" w:color="auto" w:sz="4" w:space="0"/>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442" w:type="dxa"/>
            <w:gridSpan w:val="3"/>
            <w:tcBorders>
              <w:left w:val="single" w:color="auto" w:sz="4" w:space="0"/>
              <w:bottom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continue"/>
            <w:noWrap w:val="0"/>
            <w:vAlign w:val="center"/>
          </w:tcPr>
          <w:p>
            <w:pPr>
              <w:spacing w:line="400" w:lineRule="exact"/>
              <w:jc w:val="center"/>
              <w:rPr>
                <w:rFonts w:hint="eastAsia" w:ascii="仿宋_GB2312" w:hAnsi="仿宋_GB2312" w:eastAsia="仿宋_GB2312" w:cs="仿宋_GB2312"/>
                <w:sz w:val="24"/>
              </w:rPr>
            </w:pPr>
          </w:p>
        </w:tc>
        <w:tc>
          <w:tcPr>
            <w:tcW w:w="1265" w:type="dxa"/>
            <w:gridSpan w:val="4"/>
            <w:vMerge w:val="continue"/>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vMerge w:val="restart"/>
            <w:tcBorders>
              <w:top w:val="single" w:color="auto" w:sz="4" w:space="0"/>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132" w:type="dxa"/>
            <w:gridSpan w:val="8"/>
            <w:tcBorders>
              <w:top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33" w:type="dxa"/>
            <w:gridSpan w:val="5"/>
            <w:vMerge w:val="restart"/>
            <w:tcBorders>
              <w:top w:val="single" w:color="auto" w:sz="4" w:space="0"/>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1" w:type="dxa"/>
            <w:gridSpan w:val="2"/>
            <w:vMerge w:val="restart"/>
            <w:tcBorders>
              <w:top w:val="single" w:color="auto" w:sz="4" w:space="0"/>
              <w:left w:val="single" w:color="auto" w:sz="4" w:space="0"/>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721" w:type="dxa"/>
            <w:vMerge w:val="restart"/>
            <w:tcBorders>
              <w:top w:val="single" w:color="auto" w:sz="4" w:space="0"/>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continue"/>
            <w:noWrap w:val="0"/>
            <w:vAlign w:val="center"/>
          </w:tcPr>
          <w:p>
            <w:pPr>
              <w:spacing w:line="400" w:lineRule="exact"/>
              <w:jc w:val="center"/>
              <w:rPr>
                <w:rFonts w:hint="eastAsia" w:ascii="仿宋_GB2312" w:hAnsi="仿宋_GB2312" w:eastAsia="仿宋_GB2312" w:cs="仿宋_GB2312"/>
                <w:sz w:val="24"/>
              </w:rPr>
            </w:pPr>
          </w:p>
        </w:tc>
        <w:tc>
          <w:tcPr>
            <w:tcW w:w="1265" w:type="dxa"/>
            <w:gridSpan w:val="4"/>
            <w:vMerge w:val="continue"/>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vMerge w:val="continue"/>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484"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648"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33" w:type="dxa"/>
            <w:gridSpan w:val="5"/>
            <w:vMerge w:val="continue"/>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gridSpan w:val="2"/>
            <w:vMerge w:val="continue"/>
            <w:tcBorders>
              <w:left w:val="single" w:color="auto" w:sz="4" w:space="0"/>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vMerge w:val="continue"/>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65" w:type="dxa"/>
            <w:gridSpan w:val="4"/>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auto"/>
                <w:sz w:val="24"/>
                <w:lang w:val="en-US" w:eastAsia="zh-CN"/>
              </w:rPr>
              <w:t>1357.5</w:t>
            </w:r>
          </w:p>
        </w:tc>
        <w:tc>
          <w:tcPr>
            <w:tcW w:w="1333" w:type="dxa"/>
            <w:gridSpan w:val="3"/>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132.9</w:t>
            </w:r>
          </w:p>
        </w:tc>
        <w:tc>
          <w:tcPr>
            <w:tcW w:w="1484" w:type="dxa"/>
            <w:gridSpan w:val="2"/>
            <w:noWrap w:val="0"/>
            <w:vAlign w:val="center"/>
          </w:tcPr>
          <w:p>
            <w:pPr>
              <w:autoSpaceDN w:val="0"/>
              <w:spacing w:line="40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132.9</w:t>
            </w:r>
          </w:p>
        </w:tc>
        <w:tc>
          <w:tcPr>
            <w:tcW w:w="1648"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c>
          <w:tcPr>
            <w:tcW w:w="1133" w:type="dxa"/>
            <w:gridSpan w:val="5"/>
            <w:noWrap w:val="0"/>
            <w:vAlign w:val="center"/>
          </w:tcPr>
          <w:p>
            <w:pPr>
              <w:autoSpaceDN w:val="0"/>
              <w:spacing w:line="40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1224.6</w:t>
            </w:r>
          </w:p>
        </w:tc>
        <w:tc>
          <w:tcPr>
            <w:tcW w:w="721" w:type="dxa"/>
            <w:gridSpan w:val="2"/>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p>
        </w:tc>
        <w:tc>
          <w:tcPr>
            <w:tcW w:w="721" w:type="dxa"/>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265" w:type="dxa"/>
            <w:gridSpan w:val="4"/>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FF0000"/>
                <w:kern w:val="2"/>
                <w:sz w:val="24"/>
                <w:szCs w:val="24"/>
                <w:lang w:val="en-US" w:eastAsia="zh-CN" w:bidi="ar-SA"/>
              </w:rPr>
            </w:pPr>
            <w:r>
              <w:rPr>
                <w:rFonts w:hint="eastAsia" w:ascii="仿宋_GB2312" w:hAnsi="仿宋_GB2312" w:eastAsia="仿宋_GB2312" w:cs="仿宋_GB2312"/>
                <w:color w:val="auto"/>
                <w:sz w:val="24"/>
                <w:lang w:val="en-US" w:eastAsia="zh-CN"/>
              </w:rPr>
              <w:t>1357.5</w:t>
            </w:r>
          </w:p>
        </w:tc>
        <w:tc>
          <w:tcPr>
            <w:tcW w:w="1333" w:type="dxa"/>
            <w:gridSpan w:val="3"/>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132.9</w:t>
            </w:r>
          </w:p>
        </w:tc>
        <w:tc>
          <w:tcPr>
            <w:tcW w:w="1484" w:type="dxa"/>
            <w:gridSpan w:val="2"/>
            <w:noWrap w:val="0"/>
            <w:vAlign w:val="center"/>
          </w:tcPr>
          <w:p>
            <w:pPr>
              <w:autoSpaceDN w:val="0"/>
              <w:spacing w:line="40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132.9</w:t>
            </w:r>
          </w:p>
        </w:tc>
        <w:tc>
          <w:tcPr>
            <w:tcW w:w="1648"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c>
          <w:tcPr>
            <w:tcW w:w="1133" w:type="dxa"/>
            <w:gridSpan w:val="5"/>
            <w:noWrap w:val="0"/>
            <w:vAlign w:val="center"/>
          </w:tcPr>
          <w:p>
            <w:pPr>
              <w:autoSpaceDN w:val="0"/>
              <w:spacing w:line="400" w:lineRule="exact"/>
              <w:jc w:val="center"/>
              <w:textAlignment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1224.6</w:t>
            </w:r>
          </w:p>
        </w:tc>
        <w:tc>
          <w:tcPr>
            <w:tcW w:w="721" w:type="dxa"/>
            <w:gridSpan w:val="2"/>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p>
        </w:tc>
        <w:tc>
          <w:tcPr>
            <w:tcW w:w="721" w:type="dxa"/>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restart"/>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265" w:type="dxa"/>
            <w:gridSpan w:val="4"/>
            <w:vMerge w:val="restart"/>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40" w:type="dxa"/>
            <w:gridSpan w:val="19"/>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continue"/>
            <w:noWrap w:val="0"/>
            <w:vAlign w:val="center"/>
          </w:tcPr>
          <w:p>
            <w:pPr>
              <w:spacing w:line="400" w:lineRule="exact"/>
              <w:jc w:val="center"/>
              <w:rPr>
                <w:rFonts w:hint="eastAsia" w:ascii="仿宋_GB2312" w:hAnsi="仿宋_GB2312" w:eastAsia="仿宋_GB2312" w:cs="仿宋_GB2312"/>
                <w:sz w:val="24"/>
              </w:rPr>
            </w:pPr>
          </w:p>
        </w:tc>
        <w:tc>
          <w:tcPr>
            <w:tcW w:w="1265" w:type="dxa"/>
            <w:gridSpan w:val="4"/>
            <w:vMerge w:val="continue"/>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751"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800"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156"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65" w:type="dxa"/>
            <w:gridSpan w:val="4"/>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333" w:type="dxa"/>
            <w:gridSpan w:val="3"/>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751"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800"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2156"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265" w:type="dxa"/>
            <w:gridSpan w:val="4"/>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333" w:type="dxa"/>
            <w:gridSpan w:val="3"/>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751"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800"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2156"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restart"/>
            <w:noWrap w:val="0"/>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265" w:type="dxa"/>
            <w:gridSpan w:val="4"/>
            <w:vMerge w:val="restart"/>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4877" w:type="dxa"/>
            <w:gridSpan w:val="12"/>
            <w:tcBorders>
              <w:left w:val="single" w:color="auto" w:sz="4" w:space="0"/>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2163" w:type="dxa"/>
            <w:gridSpan w:val="7"/>
            <w:vMerge w:val="restart"/>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continue"/>
            <w:noWrap w:val="0"/>
            <w:vAlign w:val="center"/>
          </w:tcPr>
          <w:p>
            <w:pPr>
              <w:spacing w:line="400" w:lineRule="exact"/>
              <w:jc w:val="center"/>
              <w:rPr>
                <w:rFonts w:hint="eastAsia" w:ascii="仿宋_GB2312" w:hAnsi="仿宋_GB2312" w:eastAsia="仿宋_GB2312" w:cs="仿宋_GB2312"/>
                <w:sz w:val="24"/>
              </w:rPr>
            </w:pPr>
          </w:p>
        </w:tc>
        <w:tc>
          <w:tcPr>
            <w:tcW w:w="1265" w:type="dxa"/>
            <w:gridSpan w:val="4"/>
            <w:vMerge w:val="continue"/>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3084" w:type="dxa"/>
            <w:gridSpan w:val="7"/>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1793" w:type="dxa"/>
            <w:gridSpan w:val="5"/>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2163" w:type="dxa"/>
            <w:gridSpan w:val="7"/>
            <w:vMerge w:val="continue"/>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65" w:type="dxa"/>
            <w:gridSpan w:val="4"/>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334.488</w:t>
            </w:r>
          </w:p>
        </w:tc>
        <w:tc>
          <w:tcPr>
            <w:tcW w:w="3084" w:type="dxa"/>
            <w:gridSpan w:val="7"/>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334.488</w:t>
            </w:r>
          </w:p>
        </w:tc>
        <w:tc>
          <w:tcPr>
            <w:tcW w:w="1793" w:type="dxa"/>
            <w:gridSpan w:val="5"/>
            <w:noWrap w:val="0"/>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63" w:type="dxa"/>
            <w:gridSpan w:val="7"/>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4" w:hRule="atLeast"/>
        </w:trPr>
        <w:tc>
          <w:tcPr>
            <w:tcW w:w="1392" w:type="dxa"/>
            <w:noWrap w:val="0"/>
            <w:vAlign w:val="center"/>
          </w:tcPr>
          <w:p>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265" w:type="dxa"/>
            <w:gridSpan w:val="4"/>
            <w:tcBorders>
              <w:righ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334.488</w:t>
            </w:r>
          </w:p>
        </w:tc>
        <w:tc>
          <w:tcPr>
            <w:tcW w:w="3084" w:type="dxa"/>
            <w:gridSpan w:val="7"/>
            <w:tcBorders>
              <w:left w:val="single" w:color="auto" w:sz="4" w:space="0"/>
            </w:tcBorders>
            <w:noWrap w:val="0"/>
            <w:vAlign w:val="center"/>
          </w:tcPr>
          <w:p>
            <w:pPr>
              <w:autoSpaceDN w:val="0"/>
              <w:spacing w:line="400" w:lineRule="exact"/>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334.488</w:t>
            </w:r>
          </w:p>
        </w:tc>
        <w:tc>
          <w:tcPr>
            <w:tcW w:w="1793" w:type="dxa"/>
            <w:gridSpan w:val="5"/>
            <w:noWrap w:val="0"/>
            <w:vAlign w:val="center"/>
          </w:tcPr>
          <w:p>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63" w:type="dxa"/>
            <w:gridSpan w:val="7"/>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441" w:type="dxa"/>
            <w:gridSpan w:val="2"/>
            <w:vMerge w:val="restart"/>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4276" w:type="dxa"/>
            <w:gridSpan w:val="9"/>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3980" w:type="dxa"/>
            <w:gridSpan w:val="13"/>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73"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4276" w:type="dxa"/>
            <w:gridSpan w:val="9"/>
            <w:noWrap w:val="0"/>
            <w:vAlign w:val="center"/>
          </w:tcPr>
          <w:p>
            <w:pPr>
              <w:autoSpaceDN w:val="0"/>
              <w:spacing w:line="400" w:lineRule="exact"/>
              <w:jc w:val="left"/>
              <w:textAlignment w:val="center"/>
              <w:rPr>
                <w:rFonts w:hint="eastAsia" w:ascii="仿宋" w:hAnsi="仿宋" w:eastAsia="仿宋"/>
                <w:lang w:val="zh-CN"/>
              </w:rPr>
            </w:pPr>
            <w:r>
              <w:rPr>
                <w:rFonts w:hint="eastAsia" w:ascii="仿宋" w:hAnsi="仿宋" w:eastAsia="仿宋"/>
                <w:lang w:val="zh-CN"/>
              </w:rPr>
              <w:t xml:space="preserve">任务1：完成国家重点生态功能区（县）环境质量考核任务。 </w:t>
            </w:r>
          </w:p>
          <w:p>
            <w:pPr>
              <w:autoSpaceDN w:val="0"/>
              <w:spacing w:line="400" w:lineRule="exact"/>
              <w:jc w:val="left"/>
              <w:textAlignment w:val="center"/>
              <w:rPr>
                <w:rFonts w:hint="eastAsia" w:ascii="仿宋" w:hAnsi="仿宋" w:eastAsia="仿宋"/>
                <w:lang w:val="zh-CN"/>
              </w:rPr>
            </w:pPr>
            <w:r>
              <w:rPr>
                <w:rFonts w:hint="eastAsia" w:ascii="仿宋" w:hAnsi="仿宋" w:eastAsia="仿宋"/>
                <w:lang w:val="zh-CN"/>
              </w:rPr>
              <w:t>任务2：完成</w:t>
            </w:r>
            <w:r>
              <w:rPr>
                <w:rFonts w:hint="eastAsia" w:ascii="仿宋" w:hAnsi="仿宋" w:eastAsia="仿宋"/>
                <w:lang w:val="en-US" w:eastAsia="zh-CN"/>
              </w:rPr>
              <w:t>2022年污染防治攻坚战工作任务</w:t>
            </w:r>
            <w:r>
              <w:rPr>
                <w:rFonts w:hint="eastAsia" w:ascii="仿宋" w:hAnsi="仿宋" w:eastAsia="仿宋"/>
                <w:lang w:val="zh-CN"/>
              </w:rPr>
              <w:t>。</w:t>
            </w:r>
          </w:p>
          <w:p>
            <w:pPr>
              <w:autoSpaceDN w:val="0"/>
              <w:spacing w:line="400" w:lineRule="exact"/>
              <w:jc w:val="left"/>
              <w:textAlignment w:val="center"/>
              <w:rPr>
                <w:rFonts w:hint="eastAsia" w:ascii="仿宋" w:hAnsi="仿宋" w:eastAsia="仿宋"/>
                <w:lang w:val="zh-CN"/>
              </w:rPr>
            </w:pPr>
            <w:r>
              <w:rPr>
                <w:rFonts w:hint="eastAsia" w:ascii="仿宋" w:hAnsi="仿宋" w:eastAsia="仿宋"/>
                <w:lang w:val="zh-CN"/>
              </w:rPr>
              <w:t>任务3：完成20</w:t>
            </w:r>
            <w:r>
              <w:rPr>
                <w:rFonts w:hint="eastAsia" w:ascii="仿宋" w:hAnsi="仿宋" w:eastAsia="仿宋"/>
                <w:lang w:val="en-US" w:eastAsia="zh-CN"/>
              </w:rPr>
              <w:t>22</w:t>
            </w:r>
            <w:r>
              <w:rPr>
                <w:rFonts w:hint="eastAsia" w:ascii="仿宋" w:hAnsi="仿宋" w:eastAsia="仿宋"/>
                <w:lang w:val="zh-CN"/>
              </w:rPr>
              <w:t>年环境监测工作任务。</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 w:hAnsi="仿宋" w:eastAsia="仿宋"/>
                <w:lang w:val="zh-CN"/>
              </w:rPr>
              <w:t>任务4：完成责任书中各项工作任务。</w:t>
            </w:r>
          </w:p>
        </w:tc>
        <w:tc>
          <w:tcPr>
            <w:tcW w:w="3980" w:type="dxa"/>
            <w:gridSpan w:val="13"/>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 w:hAnsi="仿宋" w:eastAsia="仿宋" w:cs="Times New Roman"/>
                <w:lang w:val="en-US" w:eastAsia="zh-CN"/>
              </w:rPr>
              <w:t>2</w:t>
            </w:r>
            <w:r>
              <w:rPr>
                <w:rFonts w:hint="eastAsia" w:ascii="仿宋" w:hAnsi="仿宋" w:eastAsia="仿宋" w:cs="Times New Roman"/>
                <w:lang w:val="zh-CN"/>
              </w:rPr>
              <w:t>0</w:t>
            </w:r>
            <w:r>
              <w:rPr>
                <w:rFonts w:hint="eastAsia" w:ascii="仿宋" w:hAnsi="仿宋" w:eastAsia="仿宋" w:cs="Times New Roman"/>
                <w:lang w:val="en-US" w:eastAsia="zh-CN"/>
              </w:rPr>
              <w:t>22</w:t>
            </w:r>
            <w:r>
              <w:rPr>
                <w:rFonts w:hint="eastAsia" w:ascii="仿宋" w:hAnsi="仿宋" w:eastAsia="仿宋" w:cs="Times New Roman"/>
                <w:lang w:val="zh-CN"/>
              </w:rPr>
              <w:t>年在县委、</w:t>
            </w:r>
            <w:r>
              <w:rPr>
                <w:rFonts w:hint="eastAsia" w:ascii="仿宋" w:hAnsi="仿宋" w:eastAsia="仿宋" w:cs="Times New Roman"/>
                <w:lang w:val="zh-CN" w:eastAsia="zh-CN"/>
              </w:rPr>
              <w:t>县</w:t>
            </w:r>
            <w:r>
              <w:rPr>
                <w:rFonts w:hint="eastAsia" w:ascii="仿宋" w:hAnsi="仿宋" w:eastAsia="仿宋" w:cs="Times New Roman"/>
                <w:lang w:val="zh-CN"/>
              </w:rPr>
              <w:t>政府</w:t>
            </w:r>
            <w:r>
              <w:rPr>
                <w:rFonts w:hint="eastAsia" w:ascii="仿宋" w:hAnsi="仿宋" w:eastAsia="仿宋" w:cs="Times New Roman"/>
                <w:lang w:val="zh-CN" w:eastAsia="zh-CN"/>
              </w:rPr>
              <w:t>和怀化市生态环境局的</w:t>
            </w:r>
            <w:r>
              <w:rPr>
                <w:rFonts w:hint="eastAsia" w:ascii="仿宋" w:hAnsi="仿宋" w:eastAsia="仿宋" w:cs="Times New Roman"/>
                <w:lang w:val="zh-CN"/>
              </w:rPr>
              <w:t>的正确领导</w:t>
            </w:r>
            <w:r>
              <w:rPr>
                <w:rFonts w:hint="eastAsia" w:ascii="仿宋" w:hAnsi="仿宋" w:eastAsia="仿宋" w:cs="Times New Roman"/>
                <w:lang w:val="zh-CN" w:eastAsia="zh-CN"/>
              </w:rPr>
              <w:t>下，</w:t>
            </w:r>
            <w:r>
              <w:rPr>
                <w:rFonts w:hint="eastAsia" w:ascii="仿宋" w:hAnsi="仿宋" w:eastAsia="仿宋" w:cs="Times New Roman"/>
                <w:lang w:val="zh-CN"/>
              </w:rPr>
              <w:t>我局全力以赴抓好环保督察整改、污染防治攻坚战、环境执法整治等重点工作落实，全县生态</w:t>
            </w:r>
            <w:r>
              <w:rPr>
                <w:rFonts w:hint="eastAsia" w:ascii="仿宋" w:hAnsi="仿宋" w:eastAsia="仿宋" w:cs="Times New Roman"/>
                <w:lang w:val="zh-CN" w:eastAsia="zh-CN"/>
              </w:rPr>
              <w:t>环境工作迎难而上，全面完成各项预期工作目标任务。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441" w:type="dxa"/>
            <w:gridSpan w:val="2"/>
            <w:vMerge w:val="restart"/>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目标及实</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施计划完</w:t>
            </w:r>
          </w:p>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成情况</w:t>
            </w:r>
          </w:p>
        </w:tc>
        <w:tc>
          <w:tcPr>
            <w:tcW w:w="1159"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一级指标</w:t>
            </w:r>
          </w:p>
        </w:tc>
        <w:tc>
          <w:tcPr>
            <w:tcW w:w="1110"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二级指标</w:t>
            </w:r>
          </w:p>
        </w:tc>
        <w:tc>
          <w:tcPr>
            <w:tcW w:w="2745" w:type="dxa"/>
            <w:gridSpan w:val="7"/>
            <w:noWrap w:val="0"/>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三级指标</w:t>
            </w:r>
          </w:p>
        </w:tc>
        <w:tc>
          <w:tcPr>
            <w:tcW w:w="1635"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指标值</w:t>
            </w:r>
          </w:p>
        </w:tc>
        <w:tc>
          <w:tcPr>
            <w:tcW w:w="1607"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32"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restart"/>
            <w:noWrap w:val="0"/>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产出指标</w:t>
            </w:r>
          </w:p>
        </w:tc>
        <w:tc>
          <w:tcPr>
            <w:tcW w:w="1110" w:type="dxa"/>
            <w:gridSpan w:val="3"/>
            <w:vMerge w:val="restart"/>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45" w:type="dxa"/>
            <w:gridSpan w:val="7"/>
            <w:noWrap w:val="0"/>
            <w:vAlign w:val="center"/>
          </w:tcPr>
          <w:p>
            <w:pPr>
              <w:autoSpaceDN w:val="0"/>
              <w:spacing w:line="400" w:lineRule="exact"/>
              <w:jc w:val="both"/>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eastAsia="zh-CN"/>
              </w:rPr>
              <w:t>确保全局在职、退休干部职工</w:t>
            </w:r>
            <w:r>
              <w:rPr>
                <w:rFonts w:hint="eastAsia" w:ascii="仿宋" w:hAnsi="仿宋" w:eastAsia="仿宋" w:cs="仿宋"/>
                <w:color w:val="000000"/>
                <w:sz w:val="21"/>
                <w:szCs w:val="21"/>
                <w:lang w:val="en-US" w:eastAsia="zh-CN"/>
              </w:rPr>
              <w:t>36人的生活、工作正常开展，让干部职工有家的归属感。</w:t>
            </w:r>
          </w:p>
        </w:tc>
        <w:tc>
          <w:tcPr>
            <w:tcW w:w="1635" w:type="dxa"/>
            <w:gridSpan w:val="6"/>
            <w:noWrap w:val="0"/>
            <w:vAlign w:val="center"/>
          </w:tcPr>
          <w:p>
            <w:pPr>
              <w:autoSpaceDN w:val="0"/>
              <w:spacing w:line="400" w:lineRule="exact"/>
              <w:jc w:val="both"/>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及时拨付资金保障36人工资福利支出及单位正常运转。</w:t>
            </w:r>
          </w:p>
        </w:tc>
        <w:tc>
          <w:tcPr>
            <w:tcW w:w="1607" w:type="dxa"/>
            <w:gridSpan w:val="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pPr>
              <w:autoSpaceDN w:val="0"/>
              <w:spacing w:line="400" w:lineRule="exact"/>
              <w:rPr>
                <w:rFonts w:hint="eastAsia" w:ascii="仿宋_GB2312" w:hAnsi="仿宋_GB2312" w:eastAsia="仿宋_GB2312" w:cs="仿宋_GB2312"/>
                <w:sz w:val="24"/>
              </w:rPr>
            </w:pPr>
          </w:p>
        </w:tc>
        <w:tc>
          <w:tcPr>
            <w:tcW w:w="1110" w:type="dxa"/>
            <w:gridSpan w:val="3"/>
            <w:noWrap w:val="0"/>
            <w:vAlign w:val="center"/>
          </w:tcPr>
          <w:p>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质量指标</w:t>
            </w:r>
          </w:p>
        </w:tc>
        <w:tc>
          <w:tcPr>
            <w:tcW w:w="2745" w:type="dxa"/>
            <w:gridSpan w:val="7"/>
            <w:noWrap w:val="0"/>
            <w:vAlign w:val="center"/>
          </w:tcPr>
          <w:p>
            <w:pPr>
              <w:autoSpaceDN w:val="0"/>
              <w:spacing w:line="400" w:lineRule="exact"/>
              <w:jc w:val="center"/>
              <w:textAlignment w:val="center"/>
              <w:rPr>
                <w:rFonts w:hint="eastAsia" w:ascii="仿宋" w:hAnsi="仿宋" w:eastAsia="仿宋" w:cs="仿宋"/>
                <w:color w:val="000000"/>
                <w:sz w:val="21"/>
                <w:szCs w:val="21"/>
              </w:rPr>
            </w:pPr>
          </w:p>
        </w:tc>
        <w:tc>
          <w:tcPr>
            <w:tcW w:w="1635" w:type="dxa"/>
            <w:gridSpan w:val="6"/>
            <w:noWrap w:val="0"/>
            <w:vAlign w:val="center"/>
          </w:tcPr>
          <w:p>
            <w:pPr>
              <w:autoSpaceDN w:val="0"/>
              <w:spacing w:line="400" w:lineRule="exact"/>
              <w:jc w:val="left"/>
              <w:textAlignment w:val="center"/>
              <w:rPr>
                <w:rFonts w:hint="eastAsia" w:ascii="仿宋" w:hAnsi="仿宋" w:eastAsia="仿宋" w:cs="仿宋"/>
                <w:color w:val="000000"/>
                <w:sz w:val="21"/>
                <w:szCs w:val="21"/>
              </w:rPr>
            </w:pPr>
          </w:p>
        </w:tc>
        <w:tc>
          <w:tcPr>
            <w:tcW w:w="1607" w:type="dxa"/>
            <w:gridSpan w:val="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pPr>
              <w:autoSpaceDN w:val="0"/>
              <w:spacing w:line="400" w:lineRule="exact"/>
              <w:rPr>
                <w:rFonts w:hint="eastAsia" w:ascii="仿宋_GB2312" w:hAnsi="仿宋_GB2312" w:eastAsia="仿宋_GB2312" w:cs="仿宋_GB2312"/>
                <w:sz w:val="24"/>
              </w:rPr>
            </w:pPr>
          </w:p>
        </w:tc>
        <w:tc>
          <w:tcPr>
            <w:tcW w:w="1110" w:type="dxa"/>
            <w:gridSpan w:val="3"/>
            <w:noWrap w:val="0"/>
            <w:vAlign w:val="center"/>
          </w:tcPr>
          <w:p>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时效指标</w:t>
            </w:r>
          </w:p>
        </w:tc>
        <w:tc>
          <w:tcPr>
            <w:tcW w:w="2745" w:type="dxa"/>
            <w:gridSpan w:val="7"/>
            <w:noWrap w:val="0"/>
            <w:vAlign w:val="center"/>
          </w:tcPr>
          <w:p>
            <w:pPr>
              <w:autoSpaceDN w:val="0"/>
              <w:spacing w:line="400" w:lineRule="exac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2022年</w:t>
            </w:r>
            <w:r>
              <w:rPr>
                <w:rFonts w:hint="eastAsia" w:ascii="仿宋" w:hAnsi="仿宋" w:eastAsia="仿宋" w:cs="仿宋"/>
                <w:color w:val="000000"/>
                <w:sz w:val="21"/>
                <w:szCs w:val="21"/>
                <w:lang w:eastAsia="zh-CN"/>
              </w:rPr>
              <w:t>每月及时拨付资金</w:t>
            </w:r>
          </w:p>
        </w:tc>
        <w:tc>
          <w:tcPr>
            <w:tcW w:w="1635" w:type="dxa"/>
            <w:gridSpan w:val="6"/>
            <w:noWrap w:val="0"/>
            <w:vAlign w:val="center"/>
          </w:tcPr>
          <w:p>
            <w:pPr>
              <w:autoSpaceDN w:val="0"/>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2022年1-12月</w:t>
            </w:r>
          </w:p>
        </w:tc>
        <w:tc>
          <w:tcPr>
            <w:tcW w:w="1607" w:type="dxa"/>
            <w:gridSpan w:val="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8"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pPr>
              <w:autoSpaceDN w:val="0"/>
              <w:spacing w:line="400" w:lineRule="exact"/>
              <w:rPr>
                <w:rFonts w:hint="eastAsia" w:ascii="仿宋_GB2312" w:hAnsi="仿宋_GB2312" w:eastAsia="仿宋_GB2312" w:cs="仿宋_GB2312"/>
                <w:sz w:val="24"/>
              </w:rPr>
            </w:pPr>
          </w:p>
        </w:tc>
        <w:tc>
          <w:tcPr>
            <w:tcW w:w="1110" w:type="dxa"/>
            <w:gridSpan w:val="3"/>
            <w:noWrap w:val="0"/>
            <w:vAlign w:val="center"/>
          </w:tcPr>
          <w:p>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成本指标</w:t>
            </w:r>
          </w:p>
        </w:tc>
        <w:tc>
          <w:tcPr>
            <w:tcW w:w="2745" w:type="dxa"/>
            <w:gridSpan w:val="7"/>
            <w:noWrap w:val="0"/>
            <w:vAlign w:val="center"/>
          </w:tcPr>
          <w:p>
            <w:pPr>
              <w:autoSpaceDN w:val="0"/>
              <w:spacing w:line="400" w:lineRule="exact"/>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严格执行财务收支管理办法，不超预算支出</w:t>
            </w:r>
          </w:p>
        </w:tc>
        <w:tc>
          <w:tcPr>
            <w:tcW w:w="1635" w:type="dxa"/>
            <w:gridSpan w:val="6"/>
            <w:noWrap w:val="0"/>
            <w:vAlign w:val="center"/>
          </w:tcPr>
          <w:p>
            <w:pPr>
              <w:autoSpaceDN w:val="0"/>
              <w:spacing w:line="400" w:lineRule="exact"/>
              <w:jc w:val="left"/>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eastAsia="zh-CN"/>
              </w:rPr>
              <w:t>实际支出</w:t>
            </w:r>
            <w:r>
              <w:rPr>
                <w:rFonts w:hint="eastAsia" w:ascii="仿宋" w:hAnsi="仿宋" w:eastAsia="仿宋" w:cs="仿宋"/>
                <w:color w:val="000000"/>
                <w:sz w:val="21"/>
                <w:szCs w:val="21"/>
              </w:rPr>
              <w:t>≤</w:t>
            </w:r>
            <w:r>
              <w:rPr>
                <w:rFonts w:hint="eastAsia" w:ascii="仿宋" w:hAnsi="仿宋" w:eastAsia="仿宋" w:cs="仿宋"/>
                <w:color w:val="auto"/>
                <w:sz w:val="21"/>
                <w:szCs w:val="21"/>
                <w:lang w:val="en-US" w:eastAsia="zh-CN"/>
              </w:rPr>
              <w:t>1357.5</w:t>
            </w:r>
            <w:r>
              <w:rPr>
                <w:rFonts w:hint="eastAsia" w:ascii="仿宋" w:hAnsi="仿宋" w:eastAsia="仿宋" w:cs="仿宋"/>
                <w:color w:val="000000"/>
                <w:sz w:val="21"/>
                <w:szCs w:val="21"/>
                <w:lang w:val="en-US" w:eastAsia="zh-CN"/>
              </w:rPr>
              <w:t>万元</w:t>
            </w:r>
          </w:p>
        </w:tc>
        <w:tc>
          <w:tcPr>
            <w:tcW w:w="1607" w:type="dxa"/>
            <w:gridSpan w:val="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restart"/>
            <w:noWrap w:val="0"/>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效益</w:t>
            </w:r>
            <w:r>
              <w:rPr>
                <w:rFonts w:hint="eastAsia" w:ascii="仿宋_GB2312" w:hAnsi="仿宋_GB2312" w:eastAsia="仿宋_GB2312" w:cs="仿宋_GB2312"/>
                <w:color w:val="000000"/>
                <w:sz w:val="24"/>
                <w:lang w:eastAsia="zh-CN"/>
              </w:rPr>
              <w:t>指标</w:t>
            </w:r>
          </w:p>
        </w:tc>
        <w:tc>
          <w:tcPr>
            <w:tcW w:w="1110"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经济效益指标</w:t>
            </w:r>
          </w:p>
        </w:tc>
        <w:tc>
          <w:tcPr>
            <w:tcW w:w="2745" w:type="dxa"/>
            <w:gridSpan w:val="7"/>
            <w:noWrap w:val="0"/>
            <w:vAlign w:val="center"/>
          </w:tcPr>
          <w:p>
            <w:pPr>
              <w:autoSpaceDN w:val="0"/>
              <w:spacing w:line="400" w:lineRule="exact"/>
              <w:jc w:val="both"/>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国家重点生态功能区转移支付资金逐年递增</w:t>
            </w:r>
          </w:p>
        </w:tc>
        <w:tc>
          <w:tcPr>
            <w:tcW w:w="1635" w:type="dxa"/>
            <w:gridSpan w:val="6"/>
            <w:noWrap w:val="0"/>
            <w:vAlign w:val="center"/>
          </w:tcPr>
          <w:p>
            <w:pPr>
              <w:autoSpaceDN w:val="0"/>
              <w:spacing w:line="400" w:lineRule="exact"/>
              <w:jc w:val="both"/>
              <w:textAlignment w:val="center"/>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认真完成国家重点生态功能区考核工作</w:t>
            </w:r>
          </w:p>
        </w:tc>
        <w:tc>
          <w:tcPr>
            <w:tcW w:w="1607" w:type="dxa"/>
            <w:gridSpan w:val="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25"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pPr>
              <w:autoSpaceDN w:val="0"/>
              <w:spacing w:line="400" w:lineRule="exact"/>
              <w:rPr>
                <w:rFonts w:hint="eastAsia" w:ascii="仿宋_GB2312" w:hAnsi="仿宋_GB2312" w:eastAsia="仿宋_GB2312" w:cs="仿宋_GB2312"/>
                <w:sz w:val="24"/>
              </w:rPr>
            </w:pPr>
          </w:p>
        </w:tc>
        <w:tc>
          <w:tcPr>
            <w:tcW w:w="1110" w:type="dxa"/>
            <w:gridSpan w:val="3"/>
            <w:noWrap w:val="0"/>
            <w:vAlign w:val="center"/>
          </w:tcPr>
          <w:p>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社会效益指标</w:t>
            </w:r>
          </w:p>
        </w:tc>
        <w:tc>
          <w:tcPr>
            <w:tcW w:w="2745" w:type="dxa"/>
            <w:gridSpan w:val="7"/>
            <w:noWrap w:val="0"/>
            <w:vAlign w:val="center"/>
          </w:tcPr>
          <w:p>
            <w:pPr>
              <w:autoSpaceDN w:val="0"/>
              <w:spacing w:line="400" w:lineRule="exact"/>
              <w:jc w:val="both"/>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营造全民参与环保浓厚氛围</w:t>
            </w:r>
          </w:p>
        </w:tc>
        <w:tc>
          <w:tcPr>
            <w:tcW w:w="1635" w:type="dxa"/>
            <w:gridSpan w:val="6"/>
            <w:noWrap w:val="0"/>
            <w:vAlign w:val="center"/>
          </w:tcPr>
          <w:p>
            <w:pPr>
              <w:autoSpaceDN w:val="0"/>
              <w:spacing w:line="400" w:lineRule="exact"/>
              <w:jc w:val="both"/>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加大生态环境保护宣传工作</w:t>
            </w:r>
          </w:p>
        </w:tc>
        <w:tc>
          <w:tcPr>
            <w:tcW w:w="1607" w:type="dxa"/>
            <w:gridSpan w:val="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pPr>
              <w:autoSpaceDN w:val="0"/>
              <w:spacing w:line="400" w:lineRule="exact"/>
              <w:rPr>
                <w:rFonts w:hint="eastAsia" w:ascii="仿宋_GB2312" w:hAnsi="仿宋_GB2312" w:eastAsia="仿宋_GB2312" w:cs="仿宋_GB2312"/>
                <w:sz w:val="24"/>
              </w:rPr>
            </w:pPr>
          </w:p>
        </w:tc>
        <w:tc>
          <w:tcPr>
            <w:tcW w:w="1110" w:type="dxa"/>
            <w:gridSpan w:val="3"/>
            <w:noWrap w:val="0"/>
            <w:vAlign w:val="center"/>
          </w:tcPr>
          <w:p>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生态效益指标</w:t>
            </w:r>
          </w:p>
        </w:tc>
        <w:tc>
          <w:tcPr>
            <w:tcW w:w="2745" w:type="dxa"/>
            <w:gridSpan w:val="7"/>
            <w:noWrap w:val="0"/>
            <w:vAlign w:val="center"/>
          </w:tcPr>
          <w:p>
            <w:pPr>
              <w:autoSpaceDN w:val="0"/>
              <w:spacing w:line="400" w:lineRule="exact"/>
              <w:jc w:val="both"/>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eastAsia="zh-CN"/>
              </w:rPr>
              <w:t>让靖州天更蓝、水更清、山更绿</w:t>
            </w:r>
          </w:p>
        </w:tc>
        <w:tc>
          <w:tcPr>
            <w:tcW w:w="1635" w:type="dxa"/>
            <w:gridSpan w:val="6"/>
            <w:noWrap w:val="0"/>
            <w:vAlign w:val="center"/>
          </w:tcPr>
          <w:p>
            <w:pPr>
              <w:autoSpaceDN w:val="0"/>
              <w:spacing w:line="400" w:lineRule="exact"/>
              <w:jc w:val="both"/>
              <w:textAlignment w:val="center"/>
              <w:rPr>
                <w:rFonts w:hint="eastAsia" w:ascii="仿宋" w:hAnsi="仿宋" w:eastAsia="仿宋" w:cs="仿宋"/>
                <w:color w:val="000000"/>
                <w:sz w:val="21"/>
                <w:szCs w:val="21"/>
              </w:rPr>
            </w:pPr>
            <w:r>
              <w:rPr>
                <w:rFonts w:hint="eastAsia" w:ascii="仿宋" w:hAnsi="仿宋" w:eastAsia="仿宋" w:cs="仿宋"/>
                <w:sz w:val="21"/>
                <w:szCs w:val="21"/>
                <w:lang w:val="zh-CN" w:eastAsia="zh-CN"/>
              </w:rPr>
              <w:t>地表水达标率100%，饮用水达标率100%，空气质量达到二级城市标准。</w:t>
            </w:r>
          </w:p>
        </w:tc>
        <w:tc>
          <w:tcPr>
            <w:tcW w:w="1607" w:type="dxa"/>
            <w:gridSpan w:val="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0"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pPr>
              <w:autoSpaceDN w:val="0"/>
              <w:spacing w:line="400" w:lineRule="exact"/>
              <w:rPr>
                <w:rFonts w:hint="eastAsia" w:ascii="仿宋_GB2312" w:hAnsi="仿宋_GB2312" w:eastAsia="仿宋_GB2312" w:cs="仿宋_GB2312"/>
                <w:sz w:val="24"/>
              </w:rPr>
            </w:pPr>
          </w:p>
        </w:tc>
        <w:tc>
          <w:tcPr>
            <w:tcW w:w="1110" w:type="dxa"/>
            <w:gridSpan w:val="3"/>
            <w:noWrap w:val="0"/>
            <w:vAlign w:val="center"/>
          </w:tcPr>
          <w:p>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可持续影响指标</w:t>
            </w:r>
          </w:p>
        </w:tc>
        <w:tc>
          <w:tcPr>
            <w:tcW w:w="2745" w:type="dxa"/>
            <w:gridSpan w:val="7"/>
            <w:noWrap w:val="0"/>
            <w:vAlign w:val="center"/>
          </w:tcPr>
          <w:p>
            <w:pPr>
              <w:autoSpaceDN w:val="0"/>
              <w:spacing w:line="400" w:lineRule="exact"/>
              <w:jc w:val="both"/>
              <w:textAlignment w:val="center"/>
              <w:rPr>
                <w:rFonts w:hint="eastAsia" w:ascii="仿宋" w:hAnsi="仿宋" w:eastAsia="仿宋" w:cs="仿宋"/>
                <w:color w:val="000000"/>
                <w:sz w:val="21"/>
                <w:szCs w:val="21"/>
              </w:rPr>
            </w:pPr>
            <w:r>
              <w:rPr>
                <w:rFonts w:hint="eastAsia" w:ascii="仿宋" w:hAnsi="仿宋" w:eastAsia="仿宋" w:cs="仿宋"/>
                <w:sz w:val="21"/>
                <w:szCs w:val="21"/>
                <w:lang w:val="en-US" w:eastAsia="zh-CN"/>
              </w:rPr>
              <w:t>全面了解我县环境质量，为县委县政府提供有力数据支撑</w:t>
            </w:r>
          </w:p>
        </w:tc>
        <w:tc>
          <w:tcPr>
            <w:tcW w:w="1635" w:type="dxa"/>
            <w:gridSpan w:val="6"/>
            <w:noWrap w:val="0"/>
            <w:vAlign w:val="center"/>
          </w:tcPr>
          <w:p>
            <w:pPr>
              <w:autoSpaceDN w:val="0"/>
              <w:spacing w:line="400" w:lineRule="exact"/>
              <w:jc w:val="both"/>
              <w:textAlignment w:val="center"/>
              <w:rPr>
                <w:rFonts w:hint="eastAsia" w:ascii="仿宋" w:hAnsi="仿宋" w:eastAsia="仿宋" w:cs="仿宋"/>
                <w:color w:val="000000"/>
                <w:sz w:val="21"/>
                <w:szCs w:val="21"/>
              </w:rPr>
            </w:pPr>
            <w:r>
              <w:rPr>
                <w:rFonts w:hint="eastAsia" w:ascii="仿宋" w:hAnsi="仿宋" w:eastAsia="仿宋" w:cs="仿宋"/>
                <w:sz w:val="21"/>
                <w:szCs w:val="21"/>
                <w:lang w:val="zh-CN" w:eastAsia="zh-CN"/>
              </w:rPr>
              <w:t>重点污染源达标率100%。</w:t>
            </w:r>
          </w:p>
        </w:tc>
        <w:tc>
          <w:tcPr>
            <w:tcW w:w="1607" w:type="dxa"/>
            <w:gridSpan w:val="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5" w:hRule="atLeast"/>
        </w:trPr>
        <w:tc>
          <w:tcPr>
            <w:tcW w:w="1441" w:type="dxa"/>
            <w:gridSpan w:val="2"/>
            <w:vMerge w:val="continue"/>
            <w:noWrap w:val="0"/>
            <w:vAlign w:val="center"/>
          </w:tcPr>
          <w:p>
            <w:pPr>
              <w:spacing w:line="400" w:lineRule="exact"/>
              <w:rPr>
                <w:rFonts w:hint="eastAsia" w:ascii="仿宋_GB2312" w:hAnsi="仿宋_GB2312" w:eastAsia="仿宋_GB2312" w:cs="仿宋_GB2312"/>
                <w:sz w:val="24"/>
              </w:rPr>
            </w:pPr>
          </w:p>
        </w:tc>
        <w:tc>
          <w:tcPr>
            <w:tcW w:w="1159" w:type="dxa"/>
            <w:gridSpan w:val="2"/>
            <w:noWrap w:val="0"/>
            <w:vAlign w:val="center"/>
          </w:tcPr>
          <w:p>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满意度指标</w:t>
            </w:r>
          </w:p>
        </w:tc>
        <w:tc>
          <w:tcPr>
            <w:tcW w:w="1110"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社会公众或服务对象满意度</w:t>
            </w:r>
          </w:p>
        </w:tc>
        <w:tc>
          <w:tcPr>
            <w:tcW w:w="2745" w:type="dxa"/>
            <w:gridSpan w:val="7"/>
            <w:noWrap w:val="0"/>
            <w:vAlign w:val="center"/>
          </w:tcPr>
          <w:p>
            <w:pPr>
              <w:autoSpaceDN w:val="0"/>
              <w:spacing w:line="400" w:lineRule="exact"/>
              <w:jc w:val="both"/>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全县人民群众对环保工作参与、支持率不断提升</w:t>
            </w:r>
          </w:p>
        </w:tc>
        <w:tc>
          <w:tcPr>
            <w:tcW w:w="1635" w:type="dxa"/>
            <w:gridSpan w:val="6"/>
            <w:noWrap w:val="0"/>
            <w:vAlign w:val="center"/>
          </w:tcPr>
          <w:p>
            <w:pPr>
              <w:autoSpaceDN w:val="0"/>
              <w:spacing w:line="400" w:lineRule="exact"/>
              <w:jc w:val="both"/>
              <w:textAlignment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eastAsia="zh-CN"/>
              </w:rPr>
              <w:t>满意度</w:t>
            </w:r>
            <w:r>
              <w:rPr>
                <w:rFonts w:hint="eastAsia" w:ascii="仿宋" w:hAnsi="仿宋" w:eastAsia="仿宋" w:cs="仿宋"/>
                <w:color w:val="000000"/>
                <w:sz w:val="21"/>
                <w:szCs w:val="21"/>
                <w:lang w:val="en-US" w:eastAsia="zh-CN"/>
              </w:rPr>
              <w:t>100%</w:t>
            </w:r>
          </w:p>
        </w:tc>
        <w:tc>
          <w:tcPr>
            <w:tcW w:w="1607" w:type="dxa"/>
            <w:gridSpan w:val="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7" w:hRule="atLeast"/>
        </w:trPr>
        <w:tc>
          <w:tcPr>
            <w:tcW w:w="2990"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707" w:type="dxa"/>
            <w:gridSpan w:val="18"/>
            <w:noWrap w:val="0"/>
            <w:vAlign w:val="center"/>
          </w:tcPr>
          <w:p>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2" w:hRule="atLeast"/>
        </w:trPr>
        <w:tc>
          <w:tcPr>
            <w:tcW w:w="2990"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707" w:type="dxa"/>
            <w:gridSpan w:val="18"/>
            <w:noWrap w:val="0"/>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9697" w:type="dxa"/>
            <w:gridSpan w:val="24"/>
            <w:noWrap w:val="0"/>
            <w:vAlign w:val="center"/>
          </w:tcPr>
          <w:p>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918"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799" w:type="dxa"/>
            <w:gridSpan w:val="8"/>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799" w:type="dxa"/>
            <w:gridSpan w:val="11"/>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1181"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918"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储银地</w:t>
            </w:r>
          </w:p>
        </w:tc>
        <w:tc>
          <w:tcPr>
            <w:tcW w:w="3799" w:type="dxa"/>
            <w:gridSpan w:val="8"/>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副局长</w:t>
            </w:r>
          </w:p>
        </w:tc>
        <w:tc>
          <w:tcPr>
            <w:tcW w:w="2799" w:type="dxa"/>
            <w:gridSpan w:val="11"/>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市生态环境局靖州分局</w:t>
            </w:r>
          </w:p>
        </w:tc>
        <w:tc>
          <w:tcPr>
            <w:tcW w:w="1181"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918"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秦年欢</w:t>
            </w:r>
          </w:p>
        </w:tc>
        <w:tc>
          <w:tcPr>
            <w:tcW w:w="3799" w:type="dxa"/>
            <w:gridSpan w:val="8"/>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出纳</w:t>
            </w:r>
          </w:p>
        </w:tc>
        <w:tc>
          <w:tcPr>
            <w:tcW w:w="2799" w:type="dxa"/>
            <w:gridSpan w:val="11"/>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市生态环境局靖州分局</w:t>
            </w:r>
          </w:p>
        </w:tc>
        <w:tc>
          <w:tcPr>
            <w:tcW w:w="1181"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918"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3799" w:type="dxa"/>
            <w:gridSpan w:val="8"/>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2799" w:type="dxa"/>
            <w:gridSpan w:val="11"/>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181"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918" w:type="dxa"/>
            <w:gridSpan w:val="3"/>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3799" w:type="dxa"/>
            <w:gridSpan w:val="8"/>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2799" w:type="dxa"/>
            <w:gridSpan w:val="11"/>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c>
          <w:tcPr>
            <w:tcW w:w="1181"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95" w:hRule="atLeast"/>
        </w:trPr>
        <w:tc>
          <w:tcPr>
            <w:tcW w:w="9697" w:type="dxa"/>
            <w:gridSpan w:val="24"/>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400" w:lineRule="exact"/>
              <w:jc w:val="left"/>
              <w:textAlignment w:val="center"/>
              <w:rPr>
                <w:rFonts w:hint="eastAsia" w:ascii="仿宋_GB2312" w:hAnsi="仿宋_GB2312" w:eastAsia="仿宋_GB2312" w:cs="仿宋_GB2312"/>
                <w:color w:val="000000"/>
                <w:sz w:val="24"/>
              </w:rPr>
            </w:pPr>
          </w:p>
          <w:p>
            <w:pPr>
              <w:autoSpaceDN w:val="0"/>
              <w:spacing w:line="400" w:lineRule="exact"/>
              <w:jc w:val="left"/>
              <w:textAlignment w:val="center"/>
              <w:rPr>
                <w:rFonts w:hint="eastAsia" w:ascii="仿宋_GB2312" w:hAnsi="仿宋_GB2312" w:eastAsia="仿宋_GB2312" w:cs="仿宋_GB2312"/>
                <w:color w:val="000000"/>
                <w:sz w:val="24"/>
              </w:rPr>
            </w:pPr>
          </w:p>
          <w:p>
            <w:pPr>
              <w:autoSpaceDN w:val="0"/>
              <w:spacing w:line="400" w:lineRule="exact"/>
              <w:jc w:val="left"/>
              <w:textAlignment w:val="center"/>
              <w:rPr>
                <w:rFonts w:hint="eastAsia" w:ascii="仿宋_GB2312" w:hAnsi="仿宋_GB2312" w:eastAsia="仿宋_GB2312" w:cs="仿宋_GB2312"/>
                <w:color w:val="000000"/>
                <w:sz w:val="24"/>
              </w:rPr>
            </w:pP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25" w:hRule="atLeast"/>
        </w:trPr>
        <w:tc>
          <w:tcPr>
            <w:tcW w:w="9697" w:type="dxa"/>
            <w:gridSpan w:val="24"/>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400" w:lineRule="exact"/>
              <w:jc w:val="left"/>
              <w:textAlignment w:val="center"/>
              <w:rPr>
                <w:rFonts w:hint="eastAsia" w:ascii="仿宋_GB2312" w:hAnsi="仿宋_GB2312" w:eastAsia="仿宋_GB2312" w:cs="仿宋_GB2312"/>
                <w:color w:val="000000"/>
                <w:sz w:val="24"/>
              </w:rPr>
            </w:pPr>
          </w:p>
          <w:p>
            <w:pPr>
              <w:autoSpaceDN w:val="0"/>
              <w:spacing w:line="400" w:lineRule="exact"/>
              <w:jc w:val="left"/>
              <w:textAlignment w:val="center"/>
              <w:rPr>
                <w:rFonts w:hint="eastAsia" w:ascii="仿宋_GB2312" w:hAnsi="仿宋_GB2312" w:eastAsia="仿宋_GB2312" w:cs="仿宋_GB2312"/>
                <w:color w:val="000000"/>
                <w:sz w:val="24"/>
              </w:rPr>
            </w:pPr>
          </w:p>
          <w:p>
            <w:pPr>
              <w:autoSpaceDN w:val="0"/>
              <w:spacing w:line="400" w:lineRule="exact"/>
              <w:jc w:val="left"/>
              <w:textAlignment w:val="center"/>
              <w:rPr>
                <w:rFonts w:hint="eastAsia" w:ascii="仿宋_GB2312" w:hAnsi="仿宋_GB2312" w:eastAsia="仿宋_GB2312" w:cs="仿宋_GB2312"/>
                <w:color w:val="000000"/>
                <w:sz w:val="24"/>
              </w:rPr>
            </w:pP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75" w:hRule="atLeast"/>
        </w:trPr>
        <w:tc>
          <w:tcPr>
            <w:tcW w:w="9697" w:type="dxa"/>
            <w:gridSpan w:val="24"/>
            <w:noWrap w:val="0"/>
            <w:vAlign w:val="center"/>
          </w:tcPr>
          <w:p>
            <w:pPr>
              <w:spacing w:line="440" w:lineRule="exact"/>
              <w:rPr>
                <w:rFonts w:hint="eastAsia" w:eastAsia="仿宋_GB2312"/>
                <w:sz w:val="24"/>
              </w:rPr>
            </w:pPr>
            <w:r>
              <w:rPr>
                <w:rFonts w:hint="eastAsia" w:eastAsia="仿宋_GB2312"/>
                <w:sz w:val="24"/>
              </w:rPr>
              <w:t>财政部门归口业务科室意见：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财政部门归口业务科室负责人（签章）：</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ascii="仿宋_GB2312" w:hAnsi="仿宋_GB2312" w:eastAsia="仿宋_GB2312" w:cs="仿宋_GB2312"/>
          <w:color w:val="000000"/>
          <w:sz w:val="24"/>
          <w:lang w:val="en-US" w:eastAsia="zh-CN"/>
        </w:rPr>
        <w:t>曾东明</w:t>
      </w:r>
      <w:r>
        <w:rPr>
          <w:rFonts w:hint="eastAsia" w:eastAsia="仿宋_GB2312" w:cs="仿宋_GB2312"/>
          <w:bCs/>
          <w:sz w:val="28"/>
          <w:szCs w:val="28"/>
        </w:rPr>
        <w:t xml:space="preserve">                   联系电话：</w:t>
      </w:r>
      <w:r>
        <w:rPr>
          <w:rFonts w:hint="eastAsia" w:ascii="仿宋_GB2312" w:hAnsi="仿宋_GB2312" w:eastAsia="仿宋_GB2312" w:cs="仿宋_GB2312"/>
          <w:color w:val="000000"/>
          <w:sz w:val="24"/>
          <w:lang w:val="en-US" w:eastAsia="zh-CN"/>
        </w:rPr>
        <w:t>18075576050</w:t>
      </w:r>
    </w:p>
    <w:p>
      <w:pPr>
        <w:rPr>
          <w:rFonts w:eastAsia="仿宋_GB2312"/>
          <w:sz w:val="32"/>
          <w:szCs w:val="32"/>
        </w:rPr>
      </w:pPr>
    </w:p>
    <w:p>
      <w:pPr>
        <w:keepNext w:val="0"/>
        <w:keepLines w:val="0"/>
        <w:pageBreakBefore w:val="0"/>
        <w:widowControl/>
        <w:kinsoku/>
        <w:wordWrap/>
        <w:overflowPunct/>
        <w:topLinePunct w:val="0"/>
        <w:autoSpaceDE/>
        <w:autoSpaceDN/>
        <w:bidi w:val="0"/>
        <w:spacing w:line="620" w:lineRule="exact"/>
        <w:jc w:val="center"/>
        <w:outlineLvl w:val="9"/>
        <w:rPr>
          <w:rFonts w:hint="eastAsia" w:ascii="方正小标宋简体" w:hAnsi="仿宋" w:eastAsia="方正小标宋简体" w:cs="宋体"/>
          <w:bCs/>
          <w:color w:val="444444"/>
          <w:kern w:val="0"/>
          <w:sz w:val="44"/>
          <w:szCs w:val="44"/>
        </w:rPr>
      </w:pPr>
    </w:p>
    <w:p>
      <w:pPr>
        <w:keepNext w:val="0"/>
        <w:keepLines w:val="0"/>
        <w:pageBreakBefore w:val="0"/>
        <w:widowControl/>
        <w:kinsoku/>
        <w:wordWrap/>
        <w:overflowPunct/>
        <w:topLinePunct w:val="0"/>
        <w:autoSpaceDE/>
        <w:autoSpaceDN/>
        <w:bidi w:val="0"/>
        <w:spacing w:line="620" w:lineRule="exact"/>
        <w:jc w:val="center"/>
        <w:outlineLvl w:val="9"/>
        <w:rPr>
          <w:rFonts w:hint="eastAsia" w:ascii="方正小标宋简体" w:hAnsi="仿宋" w:eastAsia="方正小标宋简体" w:cs="宋体"/>
          <w:bCs/>
          <w:color w:val="444444"/>
          <w:kern w:val="0"/>
          <w:sz w:val="44"/>
          <w:szCs w:val="44"/>
        </w:rPr>
      </w:pPr>
    </w:p>
    <w:p>
      <w:pPr>
        <w:keepNext w:val="0"/>
        <w:keepLines w:val="0"/>
        <w:pageBreakBefore w:val="0"/>
        <w:widowControl/>
        <w:kinsoku/>
        <w:wordWrap/>
        <w:overflowPunct/>
        <w:topLinePunct w:val="0"/>
        <w:autoSpaceDE/>
        <w:autoSpaceDN/>
        <w:bidi w:val="0"/>
        <w:spacing w:line="620" w:lineRule="exact"/>
        <w:jc w:val="center"/>
        <w:outlineLvl w:val="9"/>
        <w:rPr>
          <w:rFonts w:hint="eastAsia" w:ascii="方正小标宋简体" w:hAnsi="仿宋" w:eastAsia="方正小标宋简体" w:cs="宋体"/>
          <w:bCs/>
          <w:color w:val="444444"/>
          <w:kern w:val="0"/>
          <w:sz w:val="44"/>
          <w:szCs w:val="44"/>
        </w:rPr>
      </w:pPr>
    </w:p>
    <w:p>
      <w:pPr>
        <w:keepNext w:val="0"/>
        <w:keepLines w:val="0"/>
        <w:pageBreakBefore w:val="0"/>
        <w:widowControl/>
        <w:kinsoku/>
        <w:wordWrap/>
        <w:overflowPunct/>
        <w:topLinePunct w:val="0"/>
        <w:autoSpaceDE/>
        <w:autoSpaceDN/>
        <w:bidi w:val="0"/>
        <w:spacing w:line="620" w:lineRule="exact"/>
        <w:jc w:val="center"/>
        <w:outlineLvl w:val="9"/>
        <w:rPr>
          <w:rFonts w:hint="eastAsia" w:ascii="方正小标宋简体" w:hAnsi="仿宋" w:eastAsia="方正小标宋简体" w:cs="宋体"/>
          <w:bCs/>
          <w:color w:val="444444"/>
          <w:kern w:val="0"/>
          <w:sz w:val="44"/>
          <w:szCs w:val="44"/>
        </w:rPr>
      </w:pPr>
    </w:p>
    <w:p>
      <w:pPr>
        <w:keepNext w:val="0"/>
        <w:keepLines w:val="0"/>
        <w:pageBreakBefore w:val="0"/>
        <w:widowControl/>
        <w:kinsoku/>
        <w:wordWrap/>
        <w:overflowPunct/>
        <w:topLinePunct w:val="0"/>
        <w:autoSpaceDE/>
        <w:autoSpaceDN/>
        <w:bidi w:val="0"/>
        <w:spacing w:line="620" w:lineRule="exact"/>
        <w:jc w:val="center"/>
        <w:outlineLvl w:val="9"/>
        <w:rPr>
          <w:rFonts w:hint="eastAsia" w:ascii="方正小标宋简体" w:hAnsi="仿宋" w:eastAsia="方正小标宋简体" w:cs="宋体"/>
          <w:bCs/>
          <w:color w:val="444444"/>
          <w:kern w:val="0"/>
          <w:sz w:val="44"/>
          <w:szCs w:val="44"/>
        </w:rPr>
      </w:pPr>
    </w:p>
    <w:p>
      <w:pPr>
        <w:keepNext w:val="0"/>
        <w:keepLines w:val="0"/>
        <w:pageBreakBefore w:val="0"/>
        <w:widowControl/>
        <w:kinsoku/>
        <w:wordWrap/>
        <w:overflowPunct/>
        <w:topLinePunct w:val="0"/>
        <w:autoSpaceDE/>
        <w:autoSpaceDN/>
        <w:bidi w:val="0"/>
        <w:spacing w:line="620" w:lineRule="exact"/>
        <w:jc w:val="center"/>
        <w:outlineLvl w:val="9"/>
        <w:rPr>
          <w:rFonts w:hint="eastAsia" w:ascii="方正小标宋简体" w:hAnsi="仿宋" w:eastAsia="方正小标宋简体" w:cs="宋体"/>
          <w:bCs/>
          <w:color w:val="444444"/>
          <w:kern w:val="0"/>
          <w:sz w:val="44"/>
          <w:szCs w:val="44"/>
        </w:rPr>
      </w:pPr>
    </w:p>
    <w:p>
      <w:pPr>
        <w:keepNext w:val="0"/>
        <w:keepLines w:val="0"/>
        <w:pageBreakBefore w:val="0"/>
        <w:widowControl/>
        <w:kinsoku/>
        <w:wordWrap/>
        <w:overflowPunct/>
        <w:topLinePunct w:val="0"/>
        <w:autoSpaceDE/>
        <w:autoSpaceDN/>
        <w:bidi w:val="0"/>
        <w:spacing w:line="620" w:lineRule="exact"/>
        <w:jc w:val="center"/>
        <w:outlineLvl w:val="9"/>
        <w:rPr>
          <w:rFonts w:hint="eastAsia" w:ascii="方正小标宋简体" w:hAnsi="仿宋" w:eastAsia="方正小标宋简体" w:cs="宋体"/>
          <w:bCs/>
          <w:color w:val="444444"/>
          <w:kern w:val="0"/>
          <w:sz w:val="44"/>
          <w:szCs w:val="44"/>
        </w:rPr>
      </w:pPr>
    </w:p>
    <w:p>
      <w:pPr>
        <w:keepNext w:val="0"/>
        <w:keepLines w:val="0"/>
        <w:pageBreakBefore w:val="0"/>
        <w:widowControl/>
        <w:kinsoku/>
        <w:wordWrap/>
        <w:overflowPunct/>
        <w:topLinePunct w:val="0"/>
        <w:autoSpaceDE/>
        <w:autoSpaceDN/>
        <w:bidi w:val="0"/>
        <w:spacing w:line="620" w:lineRule="exact"/>
        <w:jc w:val="center"/>
        <w:outlineLvl w:val="9"/>
        <w:rPr>
          <w:rFonts w:hint="eastAsia" w:ascii="方正小标宋简体" w:hAnsi="仿宋" w:eastAsia="方正小标宋简体" w:cs="宋体"/>
          <w:bCs/>
          <w:color w:val="444444"/>
          <w:kern w:val="0"/>
          <w:sz w:val="44"/>
          <w:szCs w:val="44"/>
        </w:rPr>
      </w:pPr>
    </w:p>
    <w:p>
      <w:pPr>
        <w:keepNext w:val="0"/>
        <w:keepLines w:val="0"/>
        <w:pageBreakBefore w:val="0"/>
        <w:widowControl/>
        <w:kinsoku/>
        <w:wordWrap/>
        <w:overflowPunct/>
        <w:topLinePunct w:val="0"/>
        <w:autoSpaceDE/>
        <w:autoSpaceDN/>
        <w:bidi w:val="0"/>
        <w:spacing w:line="620" w:lineRule="exact"/>
        <w:jc w:val="center"/>
        <w:outlineLvl w:val="9"/>
        <w:rPr>
          <w:rFonts w:hint="eastAsia" w:ascii="方正小标宋简体" w:hAnsi="仿宋" w:eastAsia="方正小标宋简体" w:cs="宋体"/>
          <w:bCs/>
          <w:color w:val="444444"/>
          <w:kern w:val="0"/>
          <w:sz w:val="44"/>
          <w:szCs w:val="44"/>
        </w:rPr>
      </w:pPr>
    </w:p>
    <w:p>
      <w:pPr>
        <w:keepNext w:val="0"/>
        <w:keepLines w:val="0"/>
        <w:pageBreakBefore w:val="0"/>
        <w:widowControl/>
        <w:kinsoku/>
        <w:wordWrap/>
        <w:overflowPunct/>
        <w:topLinePunct w:val="0"/>
        <w:autoSpaceDE/>
        <w:autoSpaceDN/>
        <w:bidi w:val="0"/>
        <w:spacing w:line="620" w:lineRule="exact"/>
        <w:jc w:val="center"/>
        <w:outlineLvl w:val="9"/>
        <w:rPr>
          <w:rFonts w:hint="eastAsia" w:ascii="方正小标宋简体" w:hAnsi="仿宋" w:eastAsia="方正小标宋简体" w:cs="宋体"/>
          <w:bCs/>
          <w:color w:val="444444"/>
          <w:kern w:val="0"/>
          <w:sz w:val="44"/>
          <w:szCs w:val="44"/>
        </w:rPr>
      </w:pPr>
    </w:p>
    <w:p>
      <w:pPr>
        <w:keepNext w:val="0"/>
        <w:keepLines w:val="0"/>
        <w:pageBreakBefore w:val="0"/>
        <w:widowControl/>
        <w:kinsoku/>
        <w:wordWrap/>
        <w:overflowPunct/>
        <w:topLinePunct w:val="0"/>
        <w:autoSpaceDE/>
        <w:autoSpaceDN/>
        <w:bidi w:val="0"/>
        <w:spacing w:line="620" w:lineRule="exact"/>
        <w:jc w:val="center"/>
        <w:outlineLvl w:val="9"/>
        <w:rPr>
          <w:rFonts w:hint="eastAsia" w:ascii="方正小标宋简体" w:hAnsi="仿宋" w:eastAsia="方正小标宋简体" w:cs="宋体"/>
          <w:bCs/>
          <w:color w:val="444444"/>
          <w:kern w:val="0"/>
          <w:sz w:val="44"/>
          <w:szCs w:val="44"/>
        </w:rPr>
      </w:pPr>
    </w:p>
    <w:p>
      <w:pPr>
        <w:keepNext w:val="0"/>
        <w:keepLines w:val="0"/>
        <w:pageBreakBefore w:val="0"/>
        <w:widowControl/>
        <w:kinsoku/>
        <w:wordWrap/>
        <w:overflowPunct/>
        <w:topLinePunct w:val="0"/>
        <w:autoSpaceDE/>
        <w:autoSpaceDN/>
        <w:bidi w:val="0"/>
        <w:spacing w:line="620" w:lineRule="exact"/>
        <w:jc w:val="center"/>
        <w:outlineLvl w:val="9"/>
        <w:rPr>
          <w:rFonts w:hint="eastAsia" w:ascii="方正小标宋简体" w:hAnsi="仿宋" w:eastAsia="方正小标宋简体" w:cs="宋体"/>
          <w:bCs/>
          <w:color w:val="444444"/>
          <w:kern w:val="0"/>
          <w:sz w:val="44"/>
          <w:szCs w:val="44"/>
        </w:rPr>
      </w:pPr>
    </w:p>
    <w:p>
      <w:pPr>
        <w:keepNext w:val="0"/>
        <w:keepLines w:val="0"/>
        <w:pageBreakBefore w:val="0"/>
        <w:widowControl/>
        <w:kinsoku/>
        <w:wordWrap/>
        <w:overflowPunct/>
        <w:topLinePunct w:val="0"/>
        <w:autoSpaceDE/>
        <w:autoSpaceDN/>
        <w:bidi w:val="0"/>
        <w:spacing w:line="620" w:lineRule="exact"/>
        <w:jc w:val="center"/>
        <w:outlineLvl w:val="9"/>
        <w:rPr>
          <w:rFonts w:hint="eastAsia" w:ascii="方正小标宋简体" w:hAnsi="仿宋" w:eastAsia="方正小标宋简体" w:cs="宋体"/>
          <w:bCs/>
          <w:color w:val="444444"/>
          <w:kern w:val="0"/>
          <w:sz w:val="44"/>
          <w:szCs w:val="44"/>
        </w:rPr>
      </w:pPr>
    </w:p>
    <w:p>
      <w:pPr>
        <w:keepNext w:val="0"/>
        <w:keepLines w:val="0"/>
        <w:pageBreakBefore w:val="0"/>
        <w:widowControl/>
        <w:kinsoku/>
        <w:wordWrap/>
        <w:overflowPunct/>
        <w:topLinePunct w:val="0"/>
        <w:autoSpaceDE/>
        <w:autoSpaceDN/>
        <w:bidi w:val="0"/>
        <w:spacing w:line="620" w:lineRule="exact"/>
        <w:jc w:val="center"/>
        <w:outlineLvl w:val="9"/>
        <w:rPr>
          <w:rFonts w:hint="eastAsia" w:ascii="方正小标宋简体" w:hAnsi="仿宋" w:eastAsia="方正小标宋简体" w:cs="宋体"/>
          <w:bCs/>
          <w:color w:val="444444"/>
          <w:kern w:val="0"/>
          <w:sz w:val="44"/>
          <w:szCs w:val="44"/>
        </w:rPr>
      </w:pPr>
      <w:r>
        <w:rPr>
          <w:rFonts w:hint="eastAsia" w:ascii="方正小标宋简体" w:hAnsi="仿宋" w:eastAsia="方正小标宋简体" w:cs="宋体"/>
          <w:bCs/>
          <w:color w:val="444444"/>
          <w:kern w:val="0"/>
          <w:sz w:val="44"/>
          <w:szCs w:val="44"/>
        </w:rPr>
        <w:t>20</w:t>
      </w:r>
      <w:r>
        <w:rPr>
          <w:rFonts w:hint="eastAsia" w:ascii="方正小标宋简体" w:hAnsi="仿宋" w:eastAsia="方正小标宋简体" w:cs="宋体"/>
          <w:bCs/>
          <w:color w:val="444444"/>
          <w:kern w:val="0"/>
          <w:sz w:val="44"/>
          <w:szCs w:val="44"/>
          <w:lang w:val="en-US" w:eastAsia="zh-CN"/>
        </w:rPr>
        <w:t>22</w:t>
      </w:r>
      <w:r>
        <w:rPr>
          <w:rFonts w:hint="eastAsia" w:ascii="方正小标宋简体" w:hAnsi="仿宋" w:eastAsia="方正小标宋简体" w:cs="宋体"/>
          <w:bCs/>
          <w:color w:val="444444"/>
          <w:kern w:val="0"/>
          <w:sz w:val="44"/>
          <w:szCs w:val="44"/>
        </w:rPr>
        <w:t>年度部门整体支出绩效</w:t>
      </w:r>
    </w:p>
    <w:p>
      <w:pPr>
        <w:keepNext w:val="0"/>
        <w:keepLines w:val="0"/>
        <w:pageBreakBefore w:val="0"/>
        <w:widowControl/>
        <w:kinsoku/>
        <w:wordWrap/>
        <w:overflowPunct/>
        <w:topLinePunct w:val="0"/>
        <w:autoSpaceDE/>
        <w:autoSpaceDN/>
        <w:bidi w:val="0"/>
        <w:spacing w:line="620" w:lineRule="exact"/>
        <w:jc w:val="center"/>
        <w:outlineLvl w:val="9"/>
        <w:rPr>
          <w:rFonts w:hint="eastAsia" w:ascii="方正小标宋简体" w:hAnsi="仿宋" w:eastAsia="方正小标宋简体" w:cs="宋体"/>
          <w:bCs/>
          <w:color w:val="444444"/>
          <w:kern w:val="0"/>
          <w:sz w:val="44"/>
          <w:szCs w:val="44"/>
        </w:rPr>
      </w:pPr>
      <w:r>
        <w:rPr>
          <w:rFonts w:hint="eastAsia" w:ascii="方正小标宋简体" w:hAnsi="仿宋" w:eastAsia="方正小标宋简体" w:cs="宋体"/>
          <w:bCs/>
          <w:color w:val="444444"/>
          <w:kern w:val="0"/>
          <w:sz w:val="44"/>
          <w:szCs w:val="44"/>
        </w:rPr>
        <w:t>自 评 报 告</w:t>
      </w:r>
    </w:p>
    <w:p>
      <w:pPr>
        <w:keepNext w:val="0"/>
        <w:keepLines w:val="0"/>
        <w:pageBreakBefore w:val="0"/>
        <w:widowControl/>
        <w:kinsoku/>
        <w:wordWrap/>
        <w:overflowPunct/>
        <w:topLinePunct w:val="0"/>
        <w:autoSpaceDE/>
        <w:autoSpaceDN/>
        <w:bidi w:val="0"/>
        <w:spacing w:line="620" w:lineRule="exact"/>
        <w:jc w:val="center"/>
        <w:outlineLvl w:val="9"/>
        <w:rPr>
          <w:rFonts w:hint="eastAsia" w:ascii="仿宋" w:hAnsi="仿宋" w:eastAsia="仿宋" w:cs="宋体"/>
          <w:bCs/>
          <w:color w:val="444444"/>
          <w:kern w:val="0"/>
          <w:sz w:val="28"/>
          <w:szCs w:val="28"/>
          <w:lang w:eastAsia="zh-CN"/>
        </w:rPr>
      </w:pPr>
      <w:r>
        <w:rPr>
          <w:rFonts w:hint="eastAsia" w:ascii="仿宋" w:hAnsi="仿宋" w:eastAsia="仿宋" w:cs="宋体"/>
          <w:bCs/>
          <w:color w:val="444444"/>
          <w:kern w:val="0"/>
          <w:sz w:val="28"/>
          <w:szCs w:val="28"/>
          <w:lang w:eastAsia="zh-CN"/>
        </w:rPr>
        <w:t>怀化市生态环境局靖州分局</w:t>
      </w:r>
    </w:p>
    <w:p>
      <w:pPr>
        <w:keepNext w:val="0"/>
        <w:keepLines w:val="0"/>
        <w:pageBreakBefore w:val="0"/>
        <w:widowControl/>
        <w:kinsoku/>
        <w:wordWrap/>
        <w:overflowPunct/>
        <w:topLinePunct w:val="0"/>
        <w:autoSpaceDE/>
        <w:autoSpaceDN/>
        <w:bidi w:val="0"/>
        <w:spacing w:line="620" w:lineRule="exact"/>
        <w:jc w:val="center"/>
        <w:outlineLvl w:val="9"/>
        <w:rPr>
          <w:rFonts w:hint="eastAsia" w:ascii="仿宋" w:hAnsi="仿宋" w:eastAsia="仿宋" w:cs="宋体"/>
          <w:color w:val="444444"/>
          <w:kern w:val="0"/>
          <w:sz w:val="28"/>
          <w:szCs w:val="28"/>
        </w:rPr>
      </w:pPr>
      <w:r>
        <w:rPr>
          <w:rFonts w:hint="eastAsia" w:ascii="仿宋" w:hAnsi="仿宋" w:eastAsia="仿宋" w:cs="宋体"/>
          <w:bCs/>
          <w:color w:val="444444"/>
          <w:kern w:val="0"/>
          <w:sz w:val="28"/>
          <w:szCs w:val="28"/>
        </w:rPr>
        <w:t>20</w:t>
      </w:r>
      <w:r>
        <w:rPr>
          <w:rFonts w:hint="eastAsia" w:ascii="仿宋" w:hAnsi="仿宋" w:eastAsia="仿宋" w:cs="宋体"/>
          <w:bCs/>
          <w:color w:val="444444"/>
          <w:kern w:val="0"/>
          <w:sz w:val="28"/>
          <w:szCs w:val="28"/>
          <w:lang w:val="en-US" w:eastAsia="zh-CN"/>
        </w:rPr>
        <w:t>23</w:t>
      </w:r>
      <w:r>
        <w:rPr>
          <w:rFonts w:hint="eastAsia" w:ascii="仿宋" w:hAnsi="仿宋" w:eastAsia="仿宋" w:cs="宋体"/>
          <w:bCs/>
          <w:color w:val="444444"/>
          <w:kern w:val="0"/>
          <w:sz w:val="28"/>
          <w:szCs w:val="28"/>
        </w:rPr>
        <w:t>年</w:t>
      </w:r>
      <w:r>
        <w:rPr>
          <w:rFonts w:hint="eastAsia" w:ascii="仿宋" w:hAnsi="仿宋" w:eastAsia="仿宋" w:cs="宋体"/>
          <w:bCs/>
          <w:color w:val="444444"/>
          <w:kern w:val="0"/>
          <w:sz w:val="28"/>
          <w:szCs w:val="28"/>
          <w:lang w:val="en-US" w:eastAsia="zh-CN"/>
        </w:rPr>
        <w:t>2</w:t>
      </w:r>
      <w:r>
        <w:rPr>
          <w:rFonts w:hint="eastAsia" w:ascii="仿宋" w:hAnsi="仿宋" w:eastAsia="仿宋" w:cs="宋体"/>
          <w:bCs/>
          <w:color w:val="444444"/>
          <w:kern w:val="0"/>
          <w:sz w:val="28"/>
          <w:szCs w:val="28"/>
        </w:rPr>
        <w:t>月</w:t>
      </w:r>
      <w:r>
        <w:rPr>
          <w:rFonts w:hint="eastAsia" w:ascii="仿宋" w:hAnsi="仿宋" w:eastAsia="仿宋" w:cs="宋体"/>
          <w:bCs/>
          <w:color w:val="444444"/>
          <w:kern w:val="0"/>
          <w:sz w:val="28"/>
          <w:szCs w:val="28"/>
          <w:lang w:val="en-US" w:eastAsia="zh-CN"/>
        </w:rPr>
        <w:t>15</w:t>
      </w:r>
      <w:r>
        <w:rPr>
          <w:rFonts w:hint="eastAsia" w:ascii="仿宋" w:hAnsi="仿宋" w:eastAsia="仿宋" w:cs="宋体"/>
          <w:bCs/>
          <w:color w:val="444444"/>
          <w:kern w:val="0"/>
          <w:sz w:val="28"/>
          <w:szCs w:val="28"/>
        </w:rPr>
        <w:t>日</w:t>
      </w:r>
    </w:p>
    <w:p>
      <w:pPr>
        <w:keepNext w:val="0"/>
        <w:keepLines w:val="0"/>
        <w:pageBreakBefore w:val="0"/>
        <w:widowControl/>
        <w:kinsoku/>
        <w:wordWrap/>
        <w:overflowPunct/>
        <w:topLinePunct w:val="0"/>
        <w:autoSpaceDE/>
        <w:autoSpaceDN/>
        <w:bidi w:val="0"/>
        <w:spacing w:line="620" w:lineRule="exact"/>
        <w:jc w:val="left"/>
        <w:outlineLvl w:val="9"/>
        <w:rPr>
          <w:rFonts w:hint="eastAsia" w:ascii="仿宋" w:hAnsi="仿宋" w:eastAsia="仿宋" w:cs="宋体"/>
          <w:color w:val="444444"/>
          <w:kern w:val="0"/>
          <w:sz w:val="30"/>
          <w:szCs w:val="30"/>
        </w:rPr>
      </w:pPr>
      <w:r>
        <w:rPr>
          <w:rFonts w:hint="eastAsia" w:ascii="宋体" w:hAnsi="宋体" w:eastAsia="仿宋" w:cs="宋体"/>
          <w:color w:val="444444"/>
          <w:kern w:val="0"/>
          <w:sz w:val="30"/>
          <w:szCs w:val="30"/>
        </w:rPr>
        <w:t> </w:t>
      </w:r>
    </w:p>
    <w:p>
      <w:pPr>
        <w:keepNext w:val="0"/>
        <w:keepLines w:val="0"/>
        <w:pageBreakBefore w:val="0"/>
        <w:widowControl/>
        <w:kinsoku/>
        <w:wordWrap/>
        <w:overflowPunct/>
        <w:topLinePunct w:val="0"/>
        <w:autoSpaceDE/>
        <w:autoSpaceDN/>
        <w:bidi w:val="0"/>
        <w:spacing w:line="620" w:lineRule="exact"/>
        <w:jc w:val="left"/>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县财政局：</w:t>
      </w:r>
    </w:p>
    <w:p>
      <w:pPr>
        <w:keepNext w:val="0"/>
        <w:keepLines w:val="0"/>
        <w:pageBreakBefore w:val="0"/>
        <w:kinsoku/>
        <w:wordWrap/>
        <w:overflowPunct/>
        <w:topLinePunct w:val="0"/>
        <w:autoSpaceDE/>
        <w:autoSpaceDN/>
        <w:bidi w:val="0"/>
        <w:spacing w:line="620" w:lineRule="exact"/>
        <w:ind w:firstLine="600" w:firstLineChars="200"/>
        <w:outlineLvl w:val="9"/>
        <w:rPr>
          <w:rFonts w:hint="eastAsia" w:ascii="仿宋" w:hAnsi="仿宋" w:eastAsia="仿宋"/>
          <w:sz w:val="30"/>
          <w:szCs w:val="30"/>
        </w:rPr>
      </w:pPr>
      <w:r>
        <w:rPr>
          <w:rFonts w:hint="eastAsia" w:ascii="仿宋" w:hAnsi="仿宋" w:eastAsia="仿宋"/>
          <w:sz w:val="30"/>
          <w:szCs w:val="30"/>
        </w:rPr>
        <w:t>为贯彻落实《关于开展20</w:t>
      </w:r>
      <w:r>
        <w:rPr>
          <w:rFonts w:hint="eastAsia" w:ascii="仿宋" w:hAnsi="仿宋" w:eastAsia="仿宋"/>
          <w:sz w:val="30"/>
          <w:szCs w:val="30"/>
          <w:lang w:val="en-US" w:eastAsia="zh-CN"/>
        </w:rPr>
        <w:t>22</w:t>
      </w:r>
      <w:r>
        <w:rPr>
          <w:rFonts w:hint="eastAsia" w:ascii="仿宋" w:hAnsi="仿宋" w:eastAsia="仿宋"/>
          <w:sz w:val="30"/>
          <w:szCs w:val="30"/>
        </w:rPr>
        <w:t>年度部门整体支出绩效自评工作的通知》文件精神，进一步提高部门整体依法履职效益，促进部门资源的合理配置，规范财政资金管理，强化部门责任意识，切实提高财政资金使用效益，结合本县预算管理制度改革的需求，本单位于20</w:t>
      </w:r>
      <w:r>
        <w:rPr>
          <w:rFonts w:hint="eastAsia" w:ascii="仿宋" w:hAnsi="仿宋" w:eastAsia="仿宋"/>
          <w:sz w:val="30"/>
          <w:szCs w:val="30"/>
          <w:lang w:val="en-US" w:eastAsia="zh-CN"/>
        </w:rPr>
        <w:t>22</w:t>
      </w:r>
      <w:r>
        <w:rPr>
          <w:rFonts w:hint="eastAsia" w:ascii="仿宋" w:hAnsi="仿宋" w:eastAsia="仿宋"/>
          <w:sz w:val="30"/>
          <w:szCs w:val="30"/>
        </w:rPr>
        <w:t>年</w:t>
      </w:r>
      <w:r>
        <w:rPr>
          <w:rFonts w:hint="eastAsia" w:ascii="仿宋" w:hAnsi="仿宋" w:eastAsia="仿宋"/>
          <w:sz w:val="30"/>
          <w:szCs w:val="30"/>
          <w:lang w:val="en-US" w:eastAsia="zh-CN"/>
        </w:rPr>
        <w:t>2</w:t>
      </w:r>
      <w:r>
        <w:rPr>
          <w:rFonts w:hint="eastAsia" w:ascii="仿宋" w:hAnsi="仿宋" w:eastAsia="仿宋"/>
          <w:sz w:val="30"/>
          <w:szCs w:val="30"/>
        </w:rPr>
        <w:t>月，组织力量对本单位的部门预算整体支出进行了绩效评价，本次评价遵循了“科学规范、公正公开、分类管理、绩效相关”的原则，运用科学、合理的绩效评价指标、评价标准和评价方法，对本单位20</w:t>
      </w:r>
      <w:r>
        <w:rPr>
          <w:rFonts w:hint="eastAsia" w:ascii="仿宋" w:hAnsi="仿宋" w:eastAsia="仿宋"/>
          <w:sz w:val="30"/>
          <w:szCs w:val="30"/>
          <w:lang w:val="en-US" w:eastAsia="zh-CN"/>
        </w:rPr>
        <w:t>22</w:t>
      </w:r>
      <w:r>
        <w:rPr>
          <w:rFonts w:hint="eastAsia" w:ascii="仿宋" w:hAnsi="仿宋" w:eastAsia="仿宋"/>
          <w:sz w:val="30"/>
          <w:szCs w:val="30"/>
        </w:rPr>
        <w:t>年度部门整体支出的绩效情况进行客观、公正的评价，现将情况汇报如下：</w:t>
      </w:r>
    </w:p>
    <w:p>
      <w:pPr>
        <w:keepNext w:val="0"/>
        <w:keepLines w:val="0"/>
        <w:pageBreakBefore w:val="0"/>
        <w:widowControl/>
        <w:kinsoku/>
        <w:wordWrap/>
        <w:overflowPunct/>
        <w:topLinePunct w:val="0"/>
        <w:autoSpaceDE/>
        <w:autoSpaceDN/>
        <w:bidi w:val="0"/>
        <w:spacing w:line="620" w:lineRule="exact"/>
        <w:ind w:firstLine="640"/>
        <w:jc w:val="left"/>
        <w:outlineLvl w:val="9"/>
        <w:rPr>
          <w:rFonts w:hint="eastAsia" w:ascii="黑体" w:hAnsi="黑体" w:eastAsia="黑体" w:cs="宋体"/>
          <w:b/>
          <w:color w:val="444444"/>
          <w:kern w:val="0"/>
          <w:sz w:val="30"/>
          <w:szCs w:val="30"/>
          <w:lang w:eastAsia="zh-CN"/>
        </w:rPr>
      </w:pPr>
      <w:r>
        <w:rPr>
          <w:rFonts w:hint="eastAsia" w:ascii="黑体" w:hAnsi="黑体" w:eastAsia="黑体" w:cs="宋体"/>
          <w:b/>
          <w:color w:val="444444"/>
          <w:kern w:val="0"/>
          <w:sz w:val="30"/>
          <w:szCs w:val="30"/>
        </w:rPr>
        <w:t>一、</w:t>
      </w:r>
      <w:r>
        <w:rPr>
          <w:rFonts w:hint="eastAsia" w:ascii="黑体" w:hAnsi="黑体" w:eastAsia="黑体" w:cs="宋体"/>
          <w:b/>
          <w:color w:val="444444"/>
          <w:kern w:val="0"/>
          <w:sz w:val="30"/>
          <w:szCs w:val="30"/>
          <w:lang w:eastAsia="zh-CN"/>
        </w:rPr>
        <w:t>单位概况</w:t>
      </w:r>
    </w:p>
    <w:p>
      <w:pPr>
        <w:keepNext w:val="0"/>
        <w:keepLines w:val="0"/>
        <w:pageBreakBefore w:val="0"/>
        <w:kinsoku/>
        <w:wordWrap/>
        <w:overflowPunct/>
        <w:topLinePunct w:val="0"/>
        <w:autoSpaceDE/>
        <w:autoSpaceDN/>
        <w:bidi w:val="0"/>
        <w:spacing w:line="620" w:lineRule="exact"/>
        <w:jc w:val="both"/>
        <w:outlineLvl w:val="9"/>
        <w:rPr>
          <w:rFonts w:hint="eastAsia" w:ascii="仿宋" w:hAnsi="仿宋" w:eastAsia="仿宋"/>
          <w:sz w:val="30"/>
          <w:szCs w:val="30"/>
        </w:rPr>
      </w:pPr>
      <w:r>
        <w:rPr>
          <w:rFonts w:hint="eastAsia" w:ascii="仿宋" w:hAnsi="仿宋" w:eastAsia="仿宋"/>
          <w:sz w:val="30"/>
          <w:szCs w:val="30"/>
          <w:lang w:val="en-US" w:eastAsia="zh-CN"/>
        </w:rPr>
        <w:t xml:space="preserve">    1、基本情况</w:t>
      </w:r>
      <w:r>
        <w:rPr>
          <w:rFonts w:hint="eastAsia" w:ascii="仿宋" w:hAnsi="仿宋" w:eastAsia="仿宋"/>
          <w:sz w:val="30"/>
          <w:szCs w:val="30"/>
        </w:rPr>
        <w:t xml:space="preserve">    </w:t>
      </w:r>
    </w:p>
    <w:p>
      <w:pPr>
        <w:keepNext w:val="0"/>
        <w:keepLines w:val="0"/>
        <w:pageBreakBefore w:val="0"/>
        <w:kinsoku/>
        <w:wordWrap/>
        <w:overflowPunct/>
        <w:topLinePunct w:val="0"/>
        <w:autoSpaceDE/>
        <w:autoSpaceDN/>
        <w:bidi w:val="0"/>
        <w:spacing w:line="620" w:lineRule="exact"/>
        <w:ind w:firstLine="600" w:firstLineChars="200"/>
        <w:jc w:val="both"/>
        <w:outlineLvl w:val="9"/>
        <w:rPr>
          <w:rFonts w:hint="eastAsia" w:ascii="仿宋" w:hAnsi="仿宋" w:eastAsia="仿宋" w:cs="宋体"/>
          <w:color w:val="000000"/>
          <w:kern w:val="0"/>
          <w:sz w:val="30"/>
          <w:szCs w:val="30"/>
        </w:rPr>
      </w:pPr>
      <w:r>
        <w:rPr>
          <w:rFonts w:hint="eastAsia" w:ascii="仿宋" w:hAnsi="仿宋" w:eastAsia="仿宋"/>
          <w:sz w:val="30"/>
          <w:szCs w:val="30"/>
          <w:lang w:eastAsia="zh-CN"/>
        </w:rPr>
        <w:t>怀化市生态环境局靖州分局</w:t>
      </w:r>
      <w:r>
        <w:rPr>
          <w:rFonts w:hint="eastAsia" w:ascii="仿宋" w:hAnsi="仿宋" w:eastAsia="仿宋"/>
          <w:sz w:val="30"/>
          <w:szCs w:val="30"/>
        </w:rPr>
        <w:t>属</w:t>
      </w:r>
      <w:r>
        <w:rPr>
          <w:rFonts w:hint="eastAsia" w:ascii="仿宋" w:hAnsi="仿宋" w:eastAsia="仿宋"/>
          <w:sz w:val="30"/>
          <w:szCs w:val="30"/>
          <w:lang w:eastAsia="zh-CN"/>
        </w:rPr>
        <w:t>怀化市生态环境局派出机构</w:t>
      </w:r>
      <w:r>
        <w:rPr>
          <w:rFonts w:hint="eastAsia" w:ascii="仿宋" w:hAnsi="仿宋" w:eastAsia="仿宋"/>
          <w:sz w:val="30"/>
          <w:szCs w:val="30"/>
        </w:rPr>
        <w:t>，是一个全额拨款的正科级行政单位。成立于1980年10月，地址：靖州县教育路22号，法人代表</w:t>
      </w:r>
      <w:r>
        <w:rPr>
          <w:rFonts w:hint="eastAsia" w:ascii="仿宋" w:hAnsi="仿宋" w:eastAsia="仿宋"/>
          <w:sz w:val="30"/>
          <w:szCs w:val="30"/>
          <w:lang w:eastAsia="zh-CN"/>
        </w:rPr>
        <w:t>邹俊林</w:t>
      </w:r>
      <w:r>
        <w:rPr>
          <w:rFonts w:hint="eastAsia" w:ascii="仿宋" w:hAnsi="仿宋" w:eastAsia="仿宋"/>
          <w:sz w:val="30"/>
          <w:szCs w:val="30"/>
        </w:rPr>
        <w:t>，统一社会信用代码</w:t>
      </w:r>
      <w:r>
        <w:rPr>
          <w:rFonts w:hint="eastAsia" w:ascii="仿宋" w:hAnsi="仿宋" w:eastAsia="仿宋"/>
          <w:sz w:val="30"/>
          <w:szCs w:val="30"/>
          <w:lang w:val="en-US" w:eastAsia="zh-CN"/>
        </w:rPr>
        <w:t>11431229MB1A83687K</w:t>
      </w:r>
      <w:r>
        <w:rPr>
          <w:rFonts w:hint="eastAsia" w:ascii="仿宋" w:hAnsi="仿宋" w:eastAsia="仿宋"/>
          <w:sz w:val="30"/>
          <w:szCs w:val="30"/>
        </w:rPr>
        <w:t>。我局内设机构有：办公室、</w:t>
      </w:r>
      <w:r>
        <w:rPr>
          <w:rFonts w:hint="eastAsia" w:ascii="仿宋" w:hAnsi="仿宋" w:eastAsia="仿宋"/>
          <w:sz w:val="30"/>
          <w:szCs w:val="30"/>
          <w:lang w:eastAsia="zh-CN"/>
        </w:rPr>
        <w:t>污染防治</w:t>
      </w:r>
      <w:r>
        <w:rPr>
          <w:rFonts w:hint="eastAsia" w:ascii="仿宋" w:hAnsi="仿宋" w:eastAsia="仿宋"/>
          <w:sz w:val="30"/>
          <w:szCs w:val="30"/>
        </w:rPr>
        <w:t>股</w:t>
      </w:r>
      <w:r>
        <w:rPr>
          <w:rFonts w:hint="eastAsia" w:ascii="仿宋" w:hAnsi="仿宋" w:eastAsia="仿宋"/>
          <w:sz w:val="30"/>
          <w:szCs w:val="30"/>
          <w:lang w:eastAsia="zh-CN"/>
        </w:rPr>
        <w:t>、环保督察协调股</w:t>
      </w:r>
      <w:r>
        <w:rPr>
          <w:rFonts w:hint="eastAsia" w:ascii="仿宋" w:hAnsi="仿宋" w:eastAsia="仿宋"/>
          <w:sz w:val="30"/>
          <w:szCs w:val="30"/>
        </w:rPr>
        <w:t>，行政审批股，</w:t>
      </w:r>
      <w:r>
        <w:rPr>
          <w:rFonts w:hint="eastAsia" w:ascii="仿宋" w:hAnsi="仿宋" w:eastAsia="仿宋" w:cs="宋体"/>
          <w:color w:val="000000"/>
          <w:kern w:val="0"/>
          <w:sz w:val="30"/>
          <w:szCs w:val="30"/>
          <w:lang w:eastAsia="zh-CN"/>
        </w:rPr>
        <w:t>直属机构生态环境综合行政执法大队和生态环境监测站</w:t>
      </w: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eastAsia="zh-CN"/>
        </w:rPr>
        <w:t>直属</w:t>
      </w:r>
      <w:r>
        <w:rPr>
          <w:rFonts w:hint="eastAsia" w:ascii="仿宋" w:hAnsi="仿宋" w:eastAsia="仿宋" w:cs="宋体"/>
          <w:color w:val="000000"/>
          <w:kern w:val="0"/>
          <w:sz w:val="30"/>
          <w:szCs w:val="30"/>
        </w:rPr>
        <w:t>机构不单独核算。</w:t>
      </w:r>
      <w:r>
        <w:rPr>
          <w:rFonts w:hint="eastAsia" w:ascii="仿宋" w:hAnsi="仿宋" w:eastAsia="仿宋" w:cs="宋体"/>
          <w:color w:val="000000"/>
          <w:kern w:val="0"/>
          <w:sz w:val="30"/>
          <w:szCs w:val="30"/>
          <w:lang w:eastAsia="zh-CN"/>
        </w:rPr>
        <w:t>单位</w:t>
      </w:r>
      <w:r>
        <w:rPr>
          <w:rFonts w:hint="eastAsia" w:ascii="仿宋" w:hAnsi="仿宋" w:eastAsia="仿宋" w:cs="宋体"/>
          <w:color w:val="000000"/>
          <w:kern w:val="0"/>
          <w:sz w:val="30"/>
          <w:szCs w:val="30"/>
        </w:rPr>
        <w:t>共有业务用车1辆。</w:t>
      </w:r>
      <w:r>
        <w:rPr>
          <w:rFonts w:hint="eastAsia" w:ascii="仿宋" w:hAnsi="仿宋" w:eastAsia="仿宋" w:cs="仿宋"/>
          <w:sz w:val="30"/>
          <w:szCs w:val="30"/>
        </w:rPr>
        <w:t>截止20</w:t>
      </w:r>
      <w:r>
        <w:rPr>
          <w:rFonts w:hint="eastAsia" w:ascii="仿宋" w:hAnsi="仿宋" w:eastAsia="仿宋" w:cs="仿宋"/>
          <w:sz w:val="30"/>
          <w:szCs w:val="30"/>
          <w:lang w:val="en-US" w:eastAsia="zh-CN"/>
        </w:rPr>
        <w:t>22</w:t>
      </w:r>
      <w:r>
        <w:rPr>
          <w:rFonts w:hint="eastAsia" w:ascii="仿宋" w:hAnsi="仿宋" w:eastAsia="仿宋" w:cs="仿宋"/>
          <w:sz w:val="30"/>
          <w:szCs w:val="30"/>
        </w:rPr>
        <w:t>年底，实有正式在职人员</w:t>
      </w:r>
      <w:r>
        <w:rPr>
          <w:rFonts w:hint="eastAsia" w:ascii="仿宋" w:hAnsi="仿宋" w:eastAsia="仿宋" w:cs="仿宋"/>
          <w:sz w:val="30"/>
          <w:szCs w:val="30"/>
          <w:lang w:val="en-US" w:eastAsia="zh-CN"/>
        </w:rPr>
        <w:t>24</w:t>
      </w:r>
      <w:r>
        <w:rPr>
          <w:rFonts w:hint="eastAsia" w:ascii="仿宋" w:hAnsi="仿宋" w:eastAsia="仿宋" w:cs="仿宋"/>
          <w:sz w:val="30"/>
          <w:szCs w:val="30"/>
        </w:rPr>
        <w:t>人，临时工</w:t>
      </w:r>
      <w:r>
        <w:rPr>
          <w:rFonts w:hint="eastAsia" w:ascii="仿宋" w:hAnsi="仿宋" w:eastAsia="仿宋" w:cs="仿宋"/>
          <w:sz w:val="30"/>
          <w:szCs w:val="30"/>
          <w:lang w:val="en-US" w:eastAsia="zh-CN"/>
        </w:rPr>
        <w:t>4</w:t>
      </w:r>
      <w:r>
        <w:rPr>
          <w:rFonts w:hint="eastAsia" w:ascii="仿宋" w:hAnsi="仿宋" w:eastAsia="仿宋" w:cs="仿宋"/>
          <w:sz w:val="30"/>
          <w:szCs w:val="30"/>
        </w:rPr>
        <w:t>人，退休人员</w:t>
      </w:r>
      <w:r>
        <w:rPr>
          <w:rFonts w:hint="eastAsia" w:ascii="仿宋" w:hAnsi="仿宋" w:eastAsia="仿宋" w:cs="仿宋"/>
          <w:sz w:val="30"/>
          <w:szCs w:val="30"/>
          <w:lang w:val="en-US" w:eastAsia="zh-CN"/>
        </w:rPr>
        <w:t>12</w:t>
      </w:r>
      <w:r>
        <w:rPr>
          <w:rFonts w:hint="eastAsia" w:ascii="仿宋" w:hAnsi="仿宋" w:eastAsia="仿宋" w:cs="仿宋"/>
          <w:sz w:val="30"/>
          <w:szCs w:val="30"/>
        </w:rPr>
        <w:t>人，共计</w:t>
      </w:r>
      <w:r>
        <w:rPr>
          <w:rFonts w:hint="eastAsia" w:ascii="仿宋" w:hAnsi="仿宋" w:eastAsia="仿宋" w:cs="仿宋"/>
          <w:sz w:val="30"/>
          <w:szCs w:val="30"/>
          <w:lang w:val="en-US" w:eastAsia="zh-CN"/>
        </w:rPr>
        <w:t>40</w:t>
      </w:r>
      <w:r>
        <w:rPr>
          <w:rFonts w:hint="eastAsia" w:ascii="仿宋" w:hAnsi="仿宋" w:eastAsia="仿宋" w:cs="仿宋"/>
          <w:sz w:val="30"/>
          <w:szCs w:val="30"/>
        </w:rPr>
        <w:t>人。</w:t>
      </w:r>
    </w:p>
    <w:p>
      <w:pPr>
        <w:keepNext w:val="0"/>
        <w:keepLines w:val="0"/>
        <w:pageBreakBefore w:val="0"/>
        <w:kinsoku/>
        <w:wordWrap/>
        <w:overflowPunct/>
        <w:topLinePunct w:val="0"/>
        <w:autoSpaceDE/>
        <w:autoSpaceDN/>
        <w:bidi w:val="0"/>
        <w:spacing w:line="620" w:lineRule="exact"/>
        <w:ind w:firstLine="600" w:firstLineChars="200"/>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2、整体支出概况</w:t>
      </w:r>
    </w:p>
    <w:p>
      <w:pPr>
        <w:keepNext w:val="0"/>
        <w:keepLines w:val="0"/>
        <w:pageBreakBefore w:val="0"/>
        <w:widowControl/>
        <w:kinsoku/>
        <w:wordWrap/>
        <w:overflowPunct/>
        <w:topLinePunct w:val="0"/>
        <w:autoSpaceDE/>
        <w:autoSpaceDN/>
        <w:bidi w:val="0"/>
        <w:spacing w:line="620" w:lineRule="exact"/>
        <w:ind w:firstLine="594" w:firstLineChars="198"/>
        <w:jc w:val="left"/>
        <w:outlineLvl w:val="9"/>
        <w:rPr>
          <w:rFonts w:hint="eastAsia" w:ascii="仿宋" w:hAnsi="仿宋" w:eastAsia="仿宋" w:cs="仿宋"/>
          <w:color w:val="auto"/>
          <w:sz w:val="30"/>
          <w:szCs w:val="30"/>
        </w:rPr>
      </w:pPr>
      <w:r>
        <w:rPr>
          <w:rFonts w:hint="eastAsia" w:ascii="仿宋" w:hAnsi="仿宋" w:eastAsia="仿宋" w:cs="仿宋"/>
          <w:sz w:val="30"/>
          <w:szCs w:val="30"/>
        </w:rPr>
        <w:t>我</w:t>
      </w:r>
      <w:r>
        <w:rPr>
          <w:rFonts w:hint="eastAsia" w:ascii="仿宋" w:hAnsi="仿宋" w:eastAsia="仿宋" w:cs="仿宋"/>
          <w:sz w:val="30"/>
          <w:szCs w:val="30"/>
          <w:lang w:eastAsia="zh-CN"/>
        </w:rPr>
        <w:t>局</w:t>
      </w:r>
      <w:r>
        <w:rPr>
          <w:rFonts w:hint="eastAsia" w:ascii="仿宋" w:hAnsi="仿宋" w:eastAsia="仿宋" w:cs="仿宋"/>
          <w:sz w:val="30"/>
          <w:szCs w:val="30"/>
        </w:rPr>
        <w:t>整体支出分为基本支出和专项支出，基本支出主要用于</w:t>
      </w:r>
      <w:r>
        <w:rPr>
          <w:rFonts w:hint="eastAsia" w:ascii="仿宋" w:hAnsi="仿宋" w:eastAsia="仿宋" w:cs="仿宋"/>
          <w:sz w:val="30"/>
          <w:szCs w:val="30"/>
          <w:lang w:eastAsia="zh-CN"/>
        </w:rPr>
        <w:t>人员工资、绩效奖金、监测津贴、</w:t>
      </w:r>
      <w:r>
        <w:rPr>
          <w:rFonts w:hint="eastAsia" w:ascii="仿宋" w:hAnsi="仿宋" w:eastAsia="仿宋" w:cs="仿宋"/>
          <w:sz w:val="30"/>
          <w:szCs w:val="30"/>
        </w:rPr>
        <w:t>等</w:t>
      </w:r>
      <w:r>
        <w:rPr>
          <w:rFonts w:hint="eastAsia" w:ascii="仿宋" w:hAnsi="仿宋" w:eastAsia="仿宋" w:cs="仿宋"/>
          <w:sz w:val="30"/>
          <w:szCs w:val="30"/>
          <w:lang w:eastAsia="zh-CN"/>
        </w:rPr>
        <w:t>人员</w:t>
      </w:r>
      <w:r>
        <w:rPr>
          <w:rFonts w:hint="eastAsia" w:ascii="仿宋" w:hAnsi="仿宋" w:eastAsia="仿宋" w:cs="仿宋"/>
          <w:sz w:val="30"/>
          <w:szCs w:val="30"/>
        </w:rPr>
        <w:t>支出；专项支出主要用于</w:t>
      </w:r>
      <w:r>
        <w:rPr>
          <w:rFonts w:hint="eastAsia" w:ascii="仿宋" w:hAnsi="仿宋" w:eastAsia="仿宋" w:cs="仿宋"/>
          <w:sz w:val="30"/>
          <w:szCs w:val="30"/>
          <w:lang w:eastAsia="zh-CN"/>
        </w:rPr>
        <w:t>污染防治、</w:t>
      </w:r>
      <w:r>
        <w:rPr>
          <w:rFonts w:hint="eastAsia" w:ascii="仿宋" w:hAnsi="仿宋" w:eastAsia="仿宋" w:cs="仿宋"/>
          <w:sz w:val="30"/>
          <w:szCs w:val="30"/>
        </w:rPr>
        <w:t>生态功能区</w:t>
      </w:r>
      <w:r>
        <w:rPr>
          <w:rFonts w:hint="eastAsia" w:ascii="仿宋" w:hAnsi="仿宋" w:eastAsia="仿宋" w:cs="仿宋"/>
          <w:sz w:val="30"/>
          <w:szCs w:val="30"/>
          <w:lang w:eastAsia="zh-CN"/>
        </w:rPr>
        <w:t>考核、</w:t>
      </w:r>
      <w:r>
        <w:rPr>
          <w:rFonts w:hint="eastAsia" w:ascii="仿宋" w:hAnsi="仿宋" w:eastAsia="仿宋" w:cs="仿宋"/>
          <w:sz w:val="30"/>
          <w:szCs w:val="30"/>
        </w:rPr>
        <w:t>生态示范创建</w:t>
      </w:r>
      <w:r>
        <w:rPr>
          <w:rFonts w:hint="eastAsia" w:ascii="仿宋" w:hAnsi="仿宋" w:eastAsia="仿宋" w:cs="仿宋"/>
          <w:sz w:val="30"/>
          <w:szCs w:val="30"/>
          <w:lang w:eastAsia="zh-CN"/>
        </w:rPr>
        <w:t>、环境监测</w:t>
      </w:r>
      <w:r>
        <w:rPr>
          <w:rFonts w:hint="eastAsia" w:ascii="仿宋" w:hAnsi="仿宋" w:eastAsia="仿宋" w:cs="仿宋"/>
          <w:sz w:val="30"/>
          <w:szCs w:val="30"/>
        </w:rPr>
        <w:t>等</w:t>
      </w:r>
      <w:r>
        <w:rPr>
          <w:rFonts w:hint="eastAsia" w:ascii="仿宋" w:hAnsi="仿宋" w:eastAsia="仿宋" w:cs="仿宋"/>
          <w:sz w:val="30"/>
          <w:szCs w:val="30"/>
          <w:lang w:eastAsia="zh-CN"/>
        </w:rPr>
        <w:t>工作</w:t>
      </w:r>
      <w:r>
        <w:rPr>
          <w:rFonts w:hint="eastAsia" w:ascii="仿宋" w:hAnsi="仿宋" w:eastAsia="仿宋" w:cs="仿宋"/>
          <w:sz w:val="30"/>
          <w:szCs w:val="30"/>
        </w:rPr>
        <w:t>。 20</w:t>
      </w:r>
      <w:r>
        <w:rPr>
          <w:rFonts w:hint="eastAsia" w:ascii="仿宋" w:hAnsi="仿宋" w:eastAsia="仿宋" w:cs="仿宋"/>
          <w:sz w:val="30"/>
          <w:szCs w:val="30"/>
          <w:lang w:val="en-US" w:eastAsia="zh-CN"/>
        </w:rPr>
        <w:t>22</w:t>
      </w:r>
      <w:r>
        <w:rPr>
          <w:rFonts w:hint="eastAsia" w:ascii="仿宋" w:hAnsi="仿宋" w:eastAsia="仿宋" w:cs="仿宋"/>
          <w:sz w:val="30"/>
          <w:szCs w:val="30"/>
        </w:rPr>
        <w:t>年</w:t>
      </w:r>
      <w:r>
        <w:rPr>
          <w:rFonts w:hint="eastAsia" w:ascii="仿宋" w:hAnsi="仿宋" w:eastAsia="仿宋" w:cs="仿宋"/>
          <w:sz w:val="30"/>
          <w:szCs w:val="30"/>
          <w:lang w:eastAsia="zh-CN"/>
        </w:rPr>
        <w:t>度</w:t>
      </w:r>
      <w:r>
        <w:rPr>
          <w:rFonts w:hint="eastAsia" w:ascii="仿宋" w:hAnsi="仿宋" w:eastAsia="仿宋" w:cs="仿宋"/>
          <w:color w:val="auto"/>
          <w:sz w:val="30"/>
          <w:szCs w:val="30"/>
          <w:lang w:eastAsia="zh-CN"/>
        </w:rPr>
        <w:t>总支出</w:t>
      </w:r>
      <w:r>
        <w:rPr>
          <w:rFonts w:hint="eastAsia" w:ascii="仿宋" w:hAnsi="仿宋" w:eastAsia="仿宋" w:cs="仿宋"/>
          <w:color w:val="auto"/>
          <w:sz w:val="30"/>
          <w:szCs w:val="30"/>
          <w:lang w:val="en-US" w:eastAsia="zh-CN"/>
        </w:rPr>
        <w:t>1357.5</w:t>
      </w:r>
      <w:r>
        <w:rPr>
          <w:rFonts w:hint="eastAsia" w:ascii="仿宋" w:hAnsi="仿宋" w:eastAsia="仿宋" w:cs="仿宋"/>
          <w:color w:val="auto"/>
          <w:sz w:val="30"/>
          <w:szCs w:val="30"/>
          <w:lang w:eastAsia="zh-CN"/>
        </w:rPr>
        <w:t>万元</w:t>
      </w:r>
      <w:r>
        <w:rPr>
          <w:rFonts w:hint="eastAsia" w:ascii="仿宋" w:hAnsi="仿宋" w:eastAsia="仿宋" w:cs="仿宋"/>
          <w:color w:val="auto"/>
          <w:sz w:val="30"/>
          <w:szCs w:val="30"/>
        </w:rPr>
        <w:t>，其中：基本支出</w:t>
      </w:r>
      <w:r>
        <w:rPr>
          <w:rFonts w:hint="eastAsia" w:ascii="仿宋_GB2312" w:hAnsi="仿宋" w:eastAsia="仿宋_GB2312"/>
          <w:color w:val="auto"/>
          <w:sz w:val="28"/>
          <w:szCs w:val="28"/>
          <w:lang w:val="en-US" w:eastAsia="zh-CN"/>
        </w:rPr>
        <w:t>132.9</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w:t>
      </w:r>
      <w:r>
        <w:rPr>
          <w:rFonts w:hint="eastAsia" w:ascii="仿宋" w:hAnsi="仿宋" w:eastAsia="仿宋" w:cs="宋体"/>
          <w:color w:val="auto"/>
          <w:kern w:val="0"/>
          <w:sz w:val="30"/>
          <w:szCs w:val="30"/>
        </w:rPr>
        <w:t>其他专款及</w:t>
      </w:r>
      <w:r>
        <w:rPr>
          <w:rFonts w:hint="eastAsia" w:ascii="仿宋" w:hAnsi="仿宋" w:eastAsia="仿宋" w:cs="仿宋"/>
          <w:color w:val="auto"/>
          <w:sz w:val="30"/>
          <w:szCs w:val="30"/>
        </w:rPr>
        <w:t>项目支出</w:t>
      </w:r>
      <w:r>
        <w:rPr>
          <w:rFonts w:hint="eastAsia" w:ascii="仿宋_GB2312" w:hAnsi="仿宋" w:eastAsia="仿宋_GB2312"/>
          <w:color w:val="auto"/>
          <w:sz w:val="28"/>
          <w:szCs w:val="28"/>
          <w:lang w:val="en-US" w:eastAsia="zh-CN"/>
        </w:rPr>
        <w:t>1224.6</w:t>
      </w:r>
      <w:r>
        <w:rPr>
          <w:rFonts w:hint="eastAsia" w:ascii="仿宋" w:hAnsi="仿宋" w:eastAsia="仿宋" w:cs="仿宋"/>
          <w:color w:val="auto"/>
          <w:sz w:val="30"/>
          <w:szCs w:val="30"/>
        </w:rPr>
        <w:t>万元。</w:t>
      </w:r>
    </w:p>
    <w:p>
      <w:pPr>
        <w:keepNext w:val="0"/>
        <w:keepLines w:val="0"/>
        <w:pageBreakBefore w:val="0"/>
        <w:widowControl/>
        <w:kinsoku/>
        <w:wordWrap/>
        <w:overflowPunct/>
        <w:topLinePunct w:val="0"/>
        <w:autoSpaceDE/>
        <w:autoSpaceDN/>
        <w:bidi w:val="0"/>
        <w:spacing w:line="620" w:lineRule="exact"/>
        <w:ind w:firstLine="600" w:firstLineChars="200"/>
        <w:jc w:val="left"/>
        <w:outlineLvl w:val="9"/>
        <w:rPr>
          <w:rFonts w:hint="eastAsia" w:ascii="黑体" w:hAnsi="黑体" w:eastAsia="黑体" w:cs="宋体"/>
          <w:color w:val="000000"/>
          <w:kern w:val="0"/>
          <w:sz w:val="30"/>
          <w:szCs w:val="30"/>
        </w:rPr>
      </w:pPr>
      <w:r>
        <w:rPr>
          <w:rFonts w:hint="eastAsia" w:ascii="黑体" w:hAnsi="黑体" w:eastAsia="黑体" w:cs="宋体"/>
          <w:color w:val="000000"/>
          <w:kern w:val="0"/>
          <w:sz w:val="30"/>
          <w:szCs w:val="30"/>
        </w:rPr>
        <w:t>二、</w:t>
      </w:r>
      <w:r>
        <w:rPr>
          <w:rFonts w:hint="eastAsia" w:ascii="黑体" w:hAnsi="黑体" w:eastAsia="黑体" w:cs="宋体"/>
          <w:color w:val="000000"/>
          <w:kern w:val="0"/>
          <w:sz w:val="30"/>
          <w:szCs w:val="30"/>
          <w:lang w:eastAsia="zh-CN"/>
        </w:rPr>
        <w:t>单位</w:t>
      </w:r>
      <w:r>
        <w:rPr>
          <w:rFonts w:hint="eastAsia" w:ascii="黑体" w:hAnsi="黑体" w:eastAsia="黑体" w:cs="宋体"/>
          <w:color w:val="000000"/>
          <w:kern w:val="0"/>
          <w:sz w:val="30"/>
          <w:szCs w:val="30"/>
        </w:rPr>
        <w:t>整体支出管理及使用情况</w:t>
      </w:r>
    </w:p>
    <w:p>
      <w:pPr>
        <w:keepNext w:val="0"/>
        <w:keepLines w:val="0"/>
        <w:pageBreakBefore w:val="0"/>
        <w:widowControl/>
        <w:kinsoku/>
        <w:wordWrap/>
        <w:overflowPunct/>
        <w:topLinePunct w:val="0"/>
        <w:autoSpaceDE/>
        <w:autoSpaceDN/>
        <w:bidi w:val="0"/>
        <w:spacing w:line="620" w:lineRule="exact"/>
        <w:ind w:firstLine="643"/>
        <w:jc w:val="left"/>
        <w:outlineLvl w:val="9"/>
        <w:rPr>
          <w:rFonts w:hint="eastAsia" w:ascii="仿宋" w:hAnsi="仿宋" w:eastAsia="仿宋" w:cs="宋体"/>
          <w:b w:val="0"/>
          <w:bCs/>
          <w:color w:val="000000"/>
          <w:kern w:val="0"/>
          <w:sz w:val="30"/>
          <w:szCs w:val="30"/>
        </w:rPr>
      </w:pPr>
      <w:r>
        <w:rPr>
          <w:rFonts w:hint="eastAsia" w:ascii="仿宋" w:hAnsi="仿宋" w:eastAsia="仿宋" w:cs="宋体"/>
          <w:b w:val="0"/>
          <w:bCs/>
          <w:color w:val="000000"/>
          <w:kern w:val="0"/>
          <w:sz w:val="30"/>
          <w:szCs w:val="30"/>
          <w:lang w:val="en-US" w:eastAsia="zh-CN"/>
        </w:rPr>
        <w:t>1、</w:t>
      </w:r>
      <w:r>
        <w:rPr>
          <w:rFonts w:hint="eastAsia" w:ascii="仿宋" w:hAnsi="仿宋" w:eastAsia="仿宋" w:cs="宋体"/>
          <w:b w:val="0"/>
          <w:bCs/>
          <w:color w:val="000000"/>
          <w:kern w:val="0"/>
          <w:sz w:val="30"/>
          <w:szCs w:val="30"/>
        </w:rPr>
        <w:t>基本支出</w:t>
      </w:r>
    </w:p>
    <w:p>
      <w:pPr>
        <w:keepNext w:val="0"/>
        <w:keepLines w:val="0"/>
        <w:pageBreakBefore w:val="0"/>
        <w:widowControl/>
        <w:kinsoku/>
        <w:wordWrap/>
        <w:overflowPunct/>
        <w:topLinePunct w:val="0"/>
        <w:autoSpaceDE/>
        <w:autoSpaceDN/>
        <w:bidi w:val="0"/>
        <w:spacing w:line="620" w:lineRule="exact"/>
        <w:ind w:firstLine="590" w:firstLineChars="196"/>
        <w:jc w:val="left"/>
        <w:outlineLvl w:val="9"/>
        <w:rPr>
          <w:rFonts w:hint="eastAsia" w:ascii="仿宋" w:hAnsi="仿宋" w:eastAsia="仿宋" w:cs="宋体"/>
          <w:color w:val="auto"/>
          <w:kern w:val="0"/>
          <w:sz w:val="30"/>
          <w:szCs w:val="30"/>
        </w:rPr>
      </w:pPr>
      <w:r>
        <w:rPr>
          <w:rFonts w:hint="eastAsia" w:ascii="仿宋" w:hAnsi="仿宋" w:eastAsia="仿宋" w:cs="宋体"/>
          <w:b/>
          <w:bCs/>
          <w:color w:val="000000"/>
          <w:kern w:val="0"/>
          <w:sz w:val="30"/>
          <w:szCs w:val="30"/>
          <w:lang w:eastAsia="zh-CN"/>
        </w:rPr>
        <w:t>①</w:t>
      </w:r>
      <w:r>
        <w:rPr>
          <w:rFonts w:hint="eastAsia" w:ascii="仿宋" w:hAnsi="仿宋" w:eastAsia="仿宋" w:cs="宋体"/>
          <w:b/>
          <w:bCs/>
          <w:color w:val="000000"/>
          <w:kern w:val="0"/>
          <w:sz w:val="30"/>
          <w:szCs w:val="30"/>
        </w:rPr>
        <w:t>年初预算收入。</w:t>
      </w:r>
      <w:r>
        <w:rPr>
          <w:rFonts w:hint="eastAsia" w:ascii="仿宋" w:hAnsi="仿宋" w:eastAsia="仿宋"/>
          <w:sz w:val="30"/>
          <w:szCs w:val="30"/>
        </w:rPr>
        <w:t>20</w:t>
      </w:r>
      <w:r>
        <w:rPr>
          <w:rFonts w:hint="eastAsia" w:ascii="仿宋" w:hAnsi="仿宋" w:eastAsia="仿宋"/>
          <w:sz w:val="30"/>
          <w:szCs w:val="30"/>
          <w:lang w:val="en-US" w:eastAsia="zh-CN"/>
        </w:rPr>
        <w:t>22</w:t>
      </w:r>
      <w:r>
        <w:rPr>
          <w:rFonts w:hint="eastAsia" w:ascii="仿宋" w:hAnsi="仿宋" w:eastAsia="仿宋"/>
          <w:sz w:val="30"/>
          <w:szCs w:val="30"/>
        </w:rPr>
        <w:t>年，本部门预</w:t>
      </w:r>
      <w:r>
        <w:rPr>
          <w:rFonts w:hint="eastAsia" w:ascii="仿宋" w:hAnsi="仿宋" w:eastAsia="仿宋"/>
          <w:color w:val="auto"/>
          <w:sz w:val="30"/>
          <w:szCs w:val="30"/>
        </w:rPr>
        <w:t>算收入为</w:t>
      </w:r>
      <w:r>
        <w:rPr>
          <w:rFonts w:hint="eastAsia" w:ascii="仿宋" w:hAnsi="仿宋" w:eastAsia="仿宋"/>
          <w:color w:val="auto"/>
          <w:sz w:val="30"/>
          <w:szCs w:val="30"/>
          <w:lang w:val="en-US" w:eastAsia="zh-CN"/>
        </w:rPr>
        <w:t>1357.5</w:t>
      </w:r>
      <w:r>
        <w:rPr>
          <w:rFonts w:hint="eastAsia" w:ascii="仿宋" w:hAnsi="仿宋" w:eastAsia="仿宋"/>
          <w:color w:val="auto"/>
          <w:sz w:val="30"/>
          <w:szCs w:val="30"/>
        </w:rPr>
        <w:t>万元，其中</w:t>
      </w:r>
      <w:r>
        <w:rPr>
          <w:rFonts w:hint="eastAsia" w:ascii="仿宋" w:hAnsi="仿宋" w:eastAsia="仿宋"/>
          <w:color w:val="auto"/>
          <w:sz w:val="30"/>
          <w:szCs w:val="30"/>
          <w:lang w:val="zh-CN"/>
        </w:rPr>
        <w:t>安排财政拨入资金</w:t>
      </w:r>
      <w:r>
        <w:rPr>
          <w:rFonts w:hint="eastAsia" w:ascii="仿宋" w:hAnsi="仿宋" w:eastAsia="仿宋"/>
          <w:color w:val="auto"/>
          <w:sz w:val="30"/>
          <w:szCs w:val="30"/>
          <w:lang w:val="en-US" w:eastAsia="zh-CN"/>
        </w:rPr>
        <w:t>1357.5</w:t>
      </w:r>
      <w:r>
        <w:rPr>
          <w:rFonts w:hint="eastAsia" w:ascii="仿宋" w:hAnsi="仿宋" w:eastAsia="仿宋"/>
          <w:color w:val="auto"/>
          <w:sz w:val="30"/>
          <w:szCs w:val="30"/>
        </w:rPr>
        <w:t>万元</w:t>
      </w:r>
      <w:r>
        <w:rPr>
          <w:rFonts w:hint="eastAsia" w:ascii="仿宋" w:hAnsi="仿宋" w:eastAsia="仿宋"/>
          <w:color w:val="auto"/>
          <w:sz w:val="30"/>
          <w:szCs w:val="30"/>
          <w:lang w:val="zh-CN"/>
        </w:rPr>
        <w:t>。</w:t>
      </w:r>
    </w:p>
    <w:p>
      <w:pPr>
        <w:keepNext w:val="0"/>
        <w:keepLines w:val="0"/>
        <w:pageBreakBefore w:val="0"/>
        <w:widowControl/>
        <w:kinsoku/>
        <w:wordWrap/>
        <w:overflowPunct/>
        <w:topLinePunct w:val="0"/>
        <w:autoSpaceDE/>
        <w:autoSpaceDN/>
        <w:bidi w:val="0"/>
        <w:spacing w:line="620" w:lineRule="exact"/>
        <w:ind w:firstLine="643"/>
        <w:jc w:val="left"/>
        <w:outlineLvl w:val="9"/>
        <w:rPr>
          <w:rFonts w:hint="eastAsia" w:ascii="仿宋" w:hAnsi="仿宋" w:eastAsia="仿宋" w:cs="宋体"/>
          <w:color w:val="000000"/>
          <w:kern w:val="0"/>
          <w:sz w:val="30"/>
          <w:szCs w:val="30"/>
        </w:rPr>
      </w:pPr>
      <w:r>
        <w:rPr>
          <w:rFonts w:hint="eastAsia" w:ascii="仿宋" w:hAnsi="仿宋" w:eastAsia="仿宋" w:cs="宋体"/>
          <w:b/>
          <w:bCs/>
          <w:color w:val="000000"/>
          <w:kern w:val="0"/>
          <w:sz w:val="30"/>
          <w:szCs w:val="30"/>
          <w:lang w:eastAsia="zh-CN"/>
        </w:rPr>
        <w:t>②</w:t>
      </w:r>
      <w:r>
        <w:rPr>
          <w:rFonts w:hint="eastAsia" w:ascii="仿宋" w:hAnsi="仿宋" w:eastAsia="仿宋" w:cs="宋体"/>
          <w:b/>
          <w:bCs/>
          <w:color w:val="000000"/>
          <w:kern w:val="0"/>
          <w:sz w:val="30"/>
          <w:szCs w:val="30"/>
        </w:rPr>
        <w:t>年度决算收入。</w:t>
      </w:r>
      <w:r>
        <w:rPr>
          <w:rFonts w:hint="eastAsia" w:ascii="仿宋" w:hAnsi="仿宋" w:eastAsia="仿宋" w:cs="宋体"/>
          <w:color w:val="000000"/>
          <w:kern w:val="0"/>
          <w:sz w:val="30"/>
          <w:szCs w:val="30"/>
        </w:rPr>
        <w:t>截止20</w:t>
      </w:r>
      <w:r>
        <w:rPr>
          <w:rFonts w:hint="eastAsia" w:ascii="仿宋" w:hAnsi="仿宋" w:eastAsia="仿宋" w:cs="宋体"/>
          <w:color w:val="000000"/>
          <w:kern w:val="0"/>
          <w:sz w:val="30"/>
          <w:szCs w:val="30"/>
          <w:lang w:val="en-US" w:eastAsia="zh-CN"/>
        </w:rPr>
        <w:t>22</w:t>
      </w:r>
      <w:r>
        <w:rPr>
          <w:rFonts w:hint="eastAsia" w:ascii="仿宋" w:hAnsi="仿宋" w:eastAsia="仿宋" w:cs="宋体"/>
          <w:color w:val="000000"/>
          <w:kern w:val="0"/>
          <w:sz w:val="30"/>
          <w:szCs w:val="30"/>
        </w:rPr>
        <w:t>年12月31日，本部门决算收入总计为</w:t>
      </w:r>
      <w:r>
        <w:rPr>
          <w:rFonts w:hint="eastAsia" w:ascii="仿宋" w:hAnsi="仿宋" w:eastAsia="仿宋"/>
          <w:sz w:val="30"/>
          <w:szCs w:val="30"/>
          <w:lang w:val="en-US" w:eastAsia="zh-CN"/>
        </w:rPr>
        <w:t>1357.5</w:t>
      </w:r>
      <w:r>
        <w:rPr>
          <w:rFonts w:hint="eastAsia" w:ascii="仿宋" w:hAnsi="仿宋" w:eastAsia="仿宋" w:cs="宋体"/>
          <w:color w:val="000000"/>
          <w:kern w:val="0"/>
          <w:sz w:val="30"/>
          <w:szCs w:val="30"/>
        </w:rPr>
        <w:t>万元，其中：一般预算拨款</w:t>
      </w:r>
      <w:r>
        <w:rPr>
          <w:rFonts w:hint="eastAsia" w:ascii="仿宋" w:hAnsi="仿宋" w:eastAsia="仿宋"/>
          <w:sz w:val="30"/>
          <w:szCs w:val="30"/>
          <w:lang w:val="en-US" w:eastAsia="zh-CN"/>
        </w:rPr>
        <w:t>1357.5</w:t>
      </w:r>
      <w:r>
        <w:rPr>
          <w:rFonts w:hint="eastAsia" w:ascii="仿宋" w:hAnsi="仿宋" w:eastAsia="仿宋" w:cs="宋体"/>
          <w:color w:val="000000"/>
          <w:kern w:val="0"/>
          <w:sz w:val="30"/>
          <w:szCs w:val="30"/>
        </w:rPr>
        <w:t>万元，</w:t>
      </w:r>
      <w:r>
        <w:rPr>
          <w:rFonts w:hint="eastAsia" w:ascii="仿宋" w:hAnsi="仿宋" w:eastAsia="仿宋" w:cs="宋体"/>
          <w:color w:val="000000"/>
          <w:kern w:val="0"/>
          <w:sz w:val="30"/>
          <w:szCs w:val="30"/>
          <w:lang w:eastAsia="zh-CN"/>
        </w:rPr>
        <w:t>其他收入</w:t>
      </w:r>
      <w:r>
        <w:rPr>
          <w:rFonts w:hint="eastAsia" w:ascii="仿宋" w:hAnsi="仿宋" w:eastAsia="仿宋" w:cs="宋体"/>
          <w:color w:val="000000"/>
          <w:kern w:val="0"/>
          <w:sz w:val="30"/>
          <w:szCs w:val="30"/>
          <w:lang w:val="en-US" w:eastAsia="zh-CN"/>
        </w:rPr>
        <w:t>0万元</w:t>
      </w:r>
      <w:r>
        <w:rPr>
          <w:rFonts w:hint="eastAsia" w:ascii="仿宋" w:hAnsi="仿宋" w:eastAsia="仿宋" w:cs="宋体"/>
          <w:color w:val="000000"/>
          <w:kern w:val="0"/>
          <w:sz w:val="30"/>
          <w:szCs w:val="30"/>
        </w:rPr>
        <w:t>。</w:t>
      </w:r>
    </w:p>
    <w:p>
      <w:pPr>
        <w:keepNext w:val="0"/>
        <w:keepLines w:val="0"/>
        <w:pageBreakBefore w:val="0"/>
        <w:widowControl/>
        <w:kinsoku/>
        <w:wordWrap/>
        <w:overflowPunct/>
        <w:topLinePunct w:val="0"/>
        <w:autoSpaceDE/>
        <w:autoSpaceDN/>
        <w:bidi w:val="0"/>
        <w:spacing w:line="620" w:lineRule="exact"/>
        <w:ind w:firstLine="590" w:firstLineChars="196"/>
        <w:jc w:val="left"/>
        <w:outlineLvl w:val="9"/>
        <w:rPr>
          <w:rFonts w:hint="eastAsia" w:ascii="仿宋" w:hAnsi="仿宋" w:eastAsia="仿宋" w:cs="宋体"/>
          <w:color w:val="000000"/>
          <w:kern w:val="0"/>
          <w:sz w:val="30"/>
          <w:szCs w:val="30"/>
        </w:rPr>
      </w:pPr>
      <w:r>
        <w:rPr>
          <w:rFonts w:hint="eastAsia" w:ascii="仿宋" w:hAnsi="仿宋" w:eastAsia="仿宋" w:cs="宋体"/>
          <w:b/>
          <w:bCs/>
          <w:color w:val="000000"/>
          <w:kern w:val="0"/>
          <w:sz w:val="30"/>
          <w:szCs w:val="30"/>
          <w:lang w:eastAsia="zh-CN"/>
        </w:rPr>
        <w:t>③</w:t>
      </w:r>
      <w:r>
        <w:rPr>
          <w:rFonts w:hint="eastAsia" w:ascii="仿宋" w:hAnsi="仿宋" w:eastAsia="仿宋" w:cs="宋体"/>
          <w:b/>
          <w:bCs/>
          <w:color w:val="000000"/>
          <w:kern w:val="0"/>
          <w:sz w:val="30"/>
          <w:szCs w:val="30"/>
        </w:rPr>
        <w:t>整体支出规模。</w:t>
      </w:r>
      <w:r>
        <w:rPr>
          <w:rFonts w:hint="eastAsia" w:ascii="仿宋" w:hAnsi="仿宋" w:eastAsia="仿宋" w:cs="宋体"/>
          <w:color w:val="000000"/>
          <w:kern w:val="0"/>
          <w:sz w:val="30"/>
          <w:szCs w:val="30"/>
        </w:rPr>
        <w:t>20</w:t>
      </w:r>
      <w:r>
        <w:rPr>
          <w:rFonts w:hint="eastAsia" w:ascii="仿宋" w:hAnsi="仿宋" w:eastAsia="仿宋" w:cs="宋体"/>
          <w:color w:val="000000"/>
          <w:kern w:val="0"/>
          <w:sz w:val="30"/>
          <w:szCs w:val="30"/>
          <w:lang w:val="en-US" w:eastAsia="zh-CN"/>
        </w:rPr>
        <w:t>22</w:t>
      </w:r>
      <w:r>
        <w:rPr>
          <w:rFonts w:hint="eastAsia" w:ascii="仿宋" w:hAnsi="仿宋" w:eastAsia="仿宋" w:cs="宋体"/>
          <w:color w:val="000000"/>
          <w:kern w:val="0"/>
          <w:sz w:val="30"/>
          <w:szCs w:val="30"/>
        </w:rPr>
        <w:t>年，本部门整体支出共</w:t>
      </w:r>
      <w:r>
        <w:rPr>
          <w:rFonts w:hint="eastAsia" w:ascii="仿宋_GB2312" w:hAnsi="仿宋" w:eastAsia="仿宋_GB2312"/>
          <w:sz w:val="28"/>
          <w:szCs w:val="28"/>
          <w:lang w:val="en-US" w:eastAsia="zh-CN"/>
        </w:rPr>
        <w:t>1357.5</w:t>
      </w:r>
      <w:r>
        <w:rPr>
          <w:rFonts w:hint="eastAsia" w:ascii="仿宋" w:hAnsi="仿宋" w:eastAsia="仿宋" w:cs="宋体"/>
          <w:color w:val="000000"/>
          <w:kern w:val="0"/>
          <w:sz w:val="30"/>
          <w:szCs w:val="30"/>
        </w:rPr>
        <w:t>万元，其中,基本支出</w:t>
      </w:r>
      <w:r>
        <w:rPr>
          <w:rFonts w:hint="eastAsia" w:ascii="仿宋_GB2312" w:hAnsi="仿宋" w:eastAsia="仿宋_GB2312"/>
          <w:sz w:val="28"/>
          <w:szCs w:val="28"/>
          <w:lang w:val="en-US" w:eastAsia="zh-CN"/>
        </w:rPr>
        <w:t>132.9</w:t>
      </w:r>
      <w:r>
        <w:rPr>
          <w:rFonts w:hint="eastAsia" w:ascii="仿宋" w:hAnsi="仿宋" w:eastAsia="仿宋" w:cs="宋体"/>
          <w:color w:val="000000"/>
          <w:kern w:val="0"/>
          <w:sz w:val="30"/>
          <w:szCs w:val="30"/>
        </w:rPr>
        <w:t>万元，占总支出比例为</w:t>
      </w:r>
      <w:r>
        <w:rPr>
          <w:rFonts w:hint="eastAsia" w:ascii="仿宋" w:hAnsi="仿宋" w:eastAsia="仿宋" w:cs="宋体"/>
          <w:color w:val="000000"/>
          <w:kern w:val="0"/>
          <w:sz w:val="30"/>
          <w:szCs w:val="30"/>
          <w:lang w:val="en-US" w:eastAsia="zh-CN"/>
        </w:rPr>
        <w:t>10</w:t>
      </w:r>
      <w:r>
        <w:rPr>
          <w:rFonts w:hint="eastAsia" w:ascii="仿宋" w:hAnsi="仿宋" w:eastAsia="仿宋" w:cs="宋体"/>
          <w:color w:val="000000"/>
          <w:kern w:val="0"/>
          <w:sz w:val="30"/>
          <w:szCs w:val="30"/>
        </w:rPr>
        <w:t>%；其他专款及项目支出</w:t>
      </w:r>
      <w:r>
        <w:rPr>
          <w:rFonts w:hint="eastAsia" w:ascii="仿宋_GB2312" w:hAnsi="仿宋" w:eastAsia="仿宋_GB2312"/>
          <w:sz w:val="28"/>
          <w:szCs w:val="28"/>
          <w:lang w:val="en-US" w:eastAsia="zh-CN"/>
        </w:rPr>
        <w:t>1224.6</w:t>
      </w:r>
      <w:r>
        <w:rPr>
          <w:rFonts w:hint="eastAsia" w:ascii="仿宋" w:hAnsi="仿宋" w:eastAsia="仿宋" w:cs="宋体"/>
          <w:color w:val="000000"/>
          <w:kern w:val="0"/>
          <w:sz w:val="30"/>
          <w:szCs w:val="30"/>
        </w:rPr>
        <w:t>万元，占总支出比例为</w:t>
      </w:r>
      <w:r>
        <w:rPr>
          <w:rFonts w:hint="eastAsia" w:ascii="仿宋" w:hAnsi="仿宋" w:eastAsia="仿宋" w:cs="宋体"/>
          <w:color w:val="000000"/>
          <w:kern w:val="0"/>
          <w:sz w:val="30"/>
          <w:szCs w:val="30"/>
          <w:lang w:val="en-US" w:eastAsia="zh-CN"/>
        </w:rPr>
        <w:t>90</w:t>
      </w:r>
      <w:r>
        <w:rPr>
          <w:rFonts w:hint="eastAsia" w:ascii="仿宋" w:hAnsi="仿宋" w:eastAsia="仿宋" w:cs="宋体"/>
          <w:color w:val="000000"/>
          <w:kern w:val="0"/>
          <w:sz w:val="30"/>
          <w:szCs w:val="30"/>
        </w:rPr>
        <w:t>%。</w:t>
      </w:r>
    </w:p>
    <w:p>
      <w:pPr>
        <w:keepNext w:val="0"/>
        <w:keepLines w:val="0"/>
        <w:pageBreakBefore w:val="0"/>
        <w:widowControl/>
        <w:kinsoku/>
        <w:wordWrap/>
        <w:overflowPunct/>
        <w:topLinePunct w:val="0"/>
        <w:autoSpaceDE/>
        <w:autoSpaceDN/>
        <w:bidi w:val="0"/>
        <w:spacing w:line="620" w:lineRule="exact"/>
        <w:ind w:firstLine="640"/>
        <w:jc w:val="left"/>
        <w:outlineLvl w:val="9"/>
        <w:rPr>
          <w:rFonts w:hint="eastAsia" w:ascii="仿宋" w:hAnsi="仿宋" w:eastAsia="仿宋" w:cs="宋体"/>
          <w:b/>
          <w:color w:val="000000"/>
          <w:kern w:val="0"/>
          <w:sz w:val="30"/>
          <w:szCs w:val="30"/>
        </w:rPr>
      </w:pPr>
      <w:r>
        <w:rPr>
          <w:rFonts w:hint="eastAsia" w:ascii="仿宋" w:hAnsi="仿宋" w:eastAsia="仿宋" w:cs="宋体"/>
          <w:b/>
          <w:color w:val="000000"/>
          <w:kern w:val="0"/>
          <w:sz w:val="30"/>
          <w:szCs w:val="30"/>
          <w:lang w:eastAsia="zh-CN"/>
        </w:rPr>
        <w:t>④</w:t>
      </w:r>
      <w:r>
        <w:rPr>
          <w:rFonts w:hint="eastAsia" w:ascii="仿宋" w:hAnsi="仿宋" w:eastAsia="仿宋" w:cs="宋体"/>
          <w:b/>
          <w:color w:val="000000"/>
          <w:kern w:val="0"/>
          <w:sz w:val="30"/>
          <w:szCs w:val="30"/>
        </w:rPr>
        <w:t>部门整体支出资金管理及使用情况。</w:t>
      </w:r>
      <w:r>
        <w:rPr>
          <w:rFonts w:hint="eastAsia" w:ascii="仿宋" w:hAnsi="仿宋" w:eastAsia="仿宋" w:cs="宋体"/>
          <w:color w:val="000000"/>
          <w:kern w:val="0"/>
          <w:sz w:val="30"/>
          <w:szCs w:val="30"/>
        </w:rPr>
        <w:t>20</w:t>
      </w:r>
      <w:r>
        <w:rPr>
          <w:rFonts w:hint="eastAsia" w:ascii="仿宋" w:hAnsi="仿宋" w:eastAsia="仿宋" w:cs="宋体"/>
          <w:color w:val="000000"/>
          <w:kern w:val="0"/>
          <w:sz w:val="30"/>
          <w:szCs w:val="30"/>
          <w:lang w:val="en-US" w:eastAsia="zh-CN"/>
        </w:rPr>
        <w:t>22</w:t>
      </w:r>
      <w:r>
        <w:rPr>
          <w:rFonts w:hint="eastAsia" w:ascii="仿宋" w:hAnsi="仿宋" w:eastAsia="仿宋" w:cs="宋体"/>
          <w:color w:val="000000"/>
          <w:kern w:val="0"/>
          <w:sz w:val="30"/>
          <w:szCs w:val="30"/>
        </w:rPr>
        <w:t>年，本部门基本支出的范围和用途包括局机关的人员经费，具体是：</w:t>
      </w:r>
      <w:r>
        <w:rPr>
          <w:rFonts w:hint="eastAsia" w:ascii="仿宋" w:hAnsi="仿宋" w:eastAsia="仿宋" w:cs="宋体"/>
          <w:color w:val="000000"/>
          <w:kern w:val="0"/>
          <w:sz w:val="30"/>
          <w:szCs w:val="30"/>
          <w:lang w:eastAsia="zh-CN"/>
        </w:rPr>
        <w:t>其他</w:t>
      </w:r>
      <w:r>
        <w:rPr>
          <w:rFonts w:hint="eastAsia" w:ascii="仿宋" w:hAnsi="仿宋" w:eastAsia="仿宋" w:cs="宋体"/>
          <w:color w:val="000000"/>
          <w:sz w:val="30"/>
          <w:szCs w:val="30"/>
        </w:rPr>
        <w:t>工资福利支出</w:t>
      </w:r>
      <w:r>
        <w:rPr>
          <w:rFonts w:hint="eastAsia" w:ascii="仿宋" w:hAnsi="仿宋" w:eastAsia="仿宋" w:cs="宋体"/>
          <w:color w:val="000000"/>
          <w:sz w:val="30"/>
          <w:szCs w:val="30"/>
          <w:lang w:val="en-US" w:eastAsia="zh-CN"/>
        </w:rPr>
        <w:t>18.18</w:t>
      </w:r>
      <w:r>
        <w:rPr>
          <w:rFonts w:hint="eastAsia" w:ascii="仿宋" w:hAnsi="仿宋" w:eastAsia="仿宋" w:cs="宋体"/>
          <w:color w:val="000000"/>
          <w:sz w:val="30"/>
          <w:szCs w:val="30"/>
        </w:rPr>
        <w:t>万元，</w:t>
      </w:r>
      <w:r>
        <w:rPr>
          <w:rFonts w:hint="eastAsia" w:ascii="仿宋" w:hAnsi="仿宋" w:eastAsia="仿宋" w:cs="宋体"/>
          <w:color w:val="000000"/>
          <w:sz w:val="30"/>
          <w:szCs w:val="30"/>
          <w:lang w:eastAsia="zh-CN"/>
        </w:rPr>
        <w:t>基本工资</w:t>
      </w:r>
      <w:r>
        <w:rPr>
          <w:rFonts w:hint="eastAsia" w:ascii="仿宋" w:hAnsi="仿宋" w:eastAsia="仿宋" w:cs="宋体"/>
          <w:color w:val="000000"/>
          <w:sz w:val="30"/>
          <w:szCs w:val="30"/>
          <w:lang w:val="en-US" w:eastAsia="zh-CN"/>
        </w:rPr>
        <w:t>2.62万元，</w:t>
      </w:r>
      <w:r>
        <w:rPr>
          <w:rFonts w:hint="eastAsia" w:ascii="仿宋" w:hAnsi="仿宋" w:eastAsia="仿宋" w:cs="宋体"/>
          <w:color w:val="000000"/>
          <w:sz w:val="30"/>
          <w:szCs w:val="30"/>
          <w:lang w:eastAsia="zh-CN"/>
        </w:rPr>
        <w:t>绩效奖金</w:t>
      </w:r>
      <w:r>
        <w:rPr>
          <w:rFonts w:hint="eastAsia" w:ascii="仿宋" w:hAnsi="仿宋" w:eastAsia="仿宋" w:cs="宋体"/>
          <w:color w:val="000000"/>
          <w:sz w:val="30"/>
          <w:szCs w:val="30"/>
          <w:lang w:val="en-US" w:eastAsia="zh-CN"/>
        </w:rPr>
        <w:t>108.68万元，津贴3.42万元，</w:t>
      </w:r>
      <w:r>
        <w:rPr>
          <w:rFonts w:hint="eastAsia" w:ascii="仿宋" w:hAnsi="仿宋" w:eastAsia="仿宋" w:cs="宋体"/>
          <w:color w:val="000000"/>
          <w:sz w:val="30"/>
          <w:szCs w:val="30"/>
        </w:rPr>
        <w:t>一般商品和服务支出</w:t>
      </w:r>
      <w:r>
        <w:rPr>
          <w:rFonts w:hint="eastAsia" w:ascii="仿宋" w:hAnsi="仿宋" w:eastAsia="仿宋" w:cs="宋体"/>
          <w:color w:val="000000"/>
          <w:sz w:val="30"/>
          <w:szCs w:val="30"/>
          <w:lang w:val="en-US" w:eastAsia="zh-CN"/>
        </w:rPr>
        <w:t>82.67</w:t>
      </w:r>
      <w:r>
        <w:rPr>
          <w:rFonts w:hint="eastAsia" w:ascii="仿宋" w:hAnsi="仿宋" w:eastAsia="仿宋" w:cs="宋体"/>
          <w:color w:val="000000"/>
          <w:sz w:val="30"/>
          <w:szCs w:val="30"/>
        </w:rPr>
        <w:t>万元，</w:t>
      </w:r>
      <w:r>
        <w:rPr>
          <w:rFonts w:hint="eastAsia" w:ascii="仿宋" w:hAnsi="仿宋" w:eastAsia="仿宋" w:cs="宋体"/>
          <w:color w:val="000000"/>
          <w:kern w:val="0"/>
          <w:sz w:val="30"/>
          <w:szCs w:val="30"/>
        </w:rPr>
        <w:t>共计</w:t>
      </w:r>
      <w:r>
        <w:rPr>
          <w:rFonts w:hint="eastAsia" w:ascii="仿宋" w:hAnsi="仿宋" w:eastAsia="仿宋" w:cs="宋体"/>
          <w:color w:val="000000"/>
          <w:kern w:val="0"/>
          <w:sz w:val="30"/>
          <w:szCs w:val="30"/>
          <w:lang w:val="en-US" w:eastAsia="zh-CN"/>
        </w:rPr>
        <w:t>132.9</w:t>
      </w:r>
      <w:r>
        <w:rPr>
          <w:rFonts w:hint="eastAsia" w:ascii="仿宋" w:hAnsi="仿宋" w:eastAsia="仿宋" w:cs="宋体"/>
          <w:color w:val="000000"/>
          <w:kern w:val="0"/>
          <w:sz w:val="30"/>
          <w:szCs w:val="30"/>
        </w:rPr>
        <w:t>万元。“三公”经费年度预算金额为</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万元，并在我局门户网站进行了公示。</w:t>
      </w:r>
    </w:p>
    <w:p>
      <w:pPr>
        <w:keepNext w:val="0"/>
        <w:keepLines w:val="0"/>
        <w:pageBreakBefore w:val="0"/>
        <w:widowControl/>
        <w:kinsoku/>
        <w:wordWrap/>
        <w:overflowPunct/>
        <w:topLinePunct w:val="0"/>
        <w:autoSpaceDE/>
        <w:autoSpaceDN/>
        <w:bidi w:val="0"/>
        <w:spacing w:line="620" w:lineRule="exact"/>
        <w:jc w:val="both"/>
        <w:outlineLvl w:val="9"/>
        <w:rPr>
          <w:rFonts w:hint="eastAsia" w:ascii="仿宋" w:hAnsi="仿宋" w:eastAsia="仿宋" w:cs="宋体"/>
          <w:b/>
          <w:bCs/>
          <w:color w:val="000000"/>
          <w:kern w:val="0"/>
          <w:sz w:val="30"/>
          <w:szCs w:val="30"/>
        </w:rPr>
      </w:pPr>
      <w:bookmarkStart w:id="0" w:name="_GoBack"/>
      <w:bookmarkEnd w:id="0"/>
    </w:p>
    <w:p>
      <w:pPr>
        <w:keepNext w:val="0"/>
        <w:keepLines w:val="0"/>
        <w:pageBreakBefore w:val="0"/>
        <w:widowControl/>
        <w:kinsoku/>
        <w:wordWrap/>
        <w:overflowPunct/>
        <w:topLinePunct w:val="0"/>
        <w:autoSpaceDE/>
        <w:autoSpaceDN/>
        <w:bidi w:val="0"/>
        <w:spacing w:line="620" w:lineRule="exact"/>
        <w:jc w:val="center"/>
        <w:outlineLvl w:val="9"/>
        <w:rPr>
          <w:rFonts w:hint="eastAsia" w:ascii="仿宋" w:hAnsi="仿宋" w:eastAsia="仿宋" w:cs="宋体"/>
          <w:color w:val="000000"/>
          <w:kern w:val="0"/>
          <w:sz w:val="30"/>
          <w:szCs w:val="30"/>
        </w:rPr>
      </w:pPr>
      <w:r>
        <w:rPr>
          <w:rFonts w:hint="eastAsia" w:ascii="仿宋" w:hAnsi="仿宋" w:eastAsia="仿宋" w:cs="宋体"/>
          <w:b/>
          <w:bCs/>
          <w:color w:val="000000"/>
          <w:kern w:val="0"/>
          <w:sz w:val="30"/>
          <w:szCs w:val="30"/>
        </w:rPr>
        <w:t>20</w:t>
      </w:r>
      <w:r>
        <w:rPr>
          <w:rFonts w:hint="eastAsia" w:ascii="仿宋" w:hAnsi="仿宋" w:eastAsia="仿宋" w:cs="宋体"/>
          <w:b/>
          <w:bCs/>
          <w:color w:val="000000"/>
          <w:kern w:val="0"/>
          <w:sz w:val="30"/>
          <w:szCs w:val="30"/>
          <w:lang w:val="en-US" w:eastAsia="zh-CN"/>
        </w:rPr>
        <w:t>22</w:t>
      </w:r>
      <w:r>
        <w:rPr>
          <w:rFonts w:hint="eastAsia" w:ascii="仿宋" w:hAnsi="仿宋" w:eastAsia="仿宋" w:cs="宋体"/>
          <w:b/>
          <w:bCs/>
          <w:color w:val="000000"/>
          <w:kern w:val="0"/>
          <w:sz w:val="30"/>
          <w:szCs w:val="30"/>
        </w:rPr>
        <w:t>年“三公”经费预算执行情况</w:t>
      </w:r>
    </w:p>
    <w:p>
      <w:pPr>
        <w:keepNext w:val="0"/>
        <w:keepLines w:val="0"/>
        <w:pageBreakBefore w:val="0"/>
        <w:widowControl/>
        <w:kinsoku/>
        <w:wordWrap/>
        <w:overflowPunct/>
        <w:topLinePunct w:val="0"/>
        <w:autoSpaceDE/>
        <w:autoSpaceDN/>
        <w:bidi w:val="0"/>
        <w:spacing w:line="620" w:lineRule="exact"/>
        <w:ind w:firstLine="5740"/>
        <w:jc w:val="left"/>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（单位：万元）</w:t>
      </w:r>
    </w:p>
    <w:tbl>
      <w:tblPr>
        <w:tblStyle w:val="7"/>
        <w:tblW w:w="0" w:type="auto"/>
        <w:jc w:val="center"/>
        <w:tblLayout w:type="fixed"/>
        <w:tblCellMar>
          <w:top w:w="0" w:type="dxa"/>
          <w:left w:w="0" w:type="dxa"/>
          <w:bottom w:w="0" w:type="dxa"/>
          <w:right w:w="0" w:type="dxa"/>
        </w:tblCellMar>
      </w:tblPr>
      <w:tblGrid>
        <w:gridCol w:w="2130"/>
        <w:gridCol w:w="2130"/>
        <w:gridCol w:w="2131"/>
        <w:gridCol w:w="2131"/>
      </w:tblGrid>
      <w:tr>
        <w:tblPrEx>
          <w:tblCellMar>
            <w:top w:w="0" w:type="dxa"/>
            <w:left w:w="0" w:type="dxa"/>
            <w:bottom w:w="0" w:type="dxa"/>
            <w:right w:w="0" w:type="dxa"/>
          </w:tblCellMar>
        </w:tblPrEx>
        <w:trPr>
          <w:jc w:val="center"/>
        </w:trPr>
        <w:tc>
          <w:tcPr>
            <w:tcW w:w="213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费用项目</w:t>
            </w:r>
          </w:p>
        </w:tc>
        <w:tc>
          <w:tcPr>
            <w:tcW w:w="21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预算金额</w:t>
            </w:r>
          </w:p>
        </w:tc>
        <w:tc>
          <w:tcPr>
            <w:tcW w:w="213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决算金额</w:t>
            </w:r>
          </w:p>
        </w:tc>
        <w:tc>
          <w:tcPr>
            <w:tcW w:w="213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增减额</w:t>
            </w:r>
          </w:p>
        </w:tc>
      </w:tr>
      <w:tr>
        <w:tblPrEx>
          <w:tblCellMar>
            <w:top w:w="0" w:type="dxa"/>
            <w:left w:w="0" w:type="dxa"/>
            <w:bottom w:w="0" w:type="dxa"/>
            <w:right w:w="0" w:type="dxa"/>
          </w:tblCellMar>
        </w:tblPrEx>
        <w:trPr>
          <w:jc w:val="center"/>
        </w:trPr>
        <w:tc>
          <w:tcPr>
            <w:tcW w:w="21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公务接待</w:t>
            </w: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default"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lang w:val="en-US" w:eastAsia="zh-CN"/>
              </w:rPr>
              <w:t>0</w:t>
            </w:r>
          </w:p>
        </w:tc>
        <w:tc>
          <w:tcPr>
            <w:tcW w:w="21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default" w:ascii="仿宋" w:hAnsi="仿宋" w:eastAsia="仿宋" w:cs="宋体"/>
                <w:color w:val="000000"/>
                <w:kern w:val="0"/>
                <w:sz w:val="30"/>
                <w:szCs w:val="30"/>
                <w:lang w:val="en-US" w:eastAsia="zh-CN"/>
              </w:rPr>
            </w:pPr>
            <w:r>
              <w:rPr>
                <w:rFonts w:hint="eastAsia" w:ascii="仿宋_GB2312" w:hAnsi="仿宋_GB2312" w:eastAsia="仿宋_GB2312" w:cs="仿宋_GB2312"/>
                <w:color w:val="000000"/>
                <w:sz w:val="24"/>
                <w:lang w:val="en-US" w:eastAsia="zh-CN"/>
              </w:rPr>
              <w:t>0</w:t>
            </w:r>
          </w:p>
        </w:tc>
        <w:tc>
          <w:tcPr>
            <w:tcW w:w="21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default"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lang w:val="en-US" w:eastAsia="zh-CN"/>
              </w:rPr>
              <w:t>0</w:t>
            </w:r>
          </w:p>
        </w:tc>
      </w:tr>
      <w:tr>
        <w:tblPrEx>
          <w:tblCellMar>
            <w:top w:w="0" w:type="dxa"/>
            <w:left w:w="0" w:type="dxa"/>
            <w:bottom w:w="0" w:type="dxa"/>
            <w:right w:w="0" w:type="dxa"/>
          </w:tblCellMar>
        </w:tblPrEx>
        <w:trPr>
          <w:jc w:val="center"/>
        </w:trPr>
        <w:tc>
          <w:tcPr>
            <w:tcW w:w="21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公车运行</w:t>
            </w: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default"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lang w:val="en-US" w:eastAsia="zh-CN"/>
              </w:rPr>
              <w:t>0</w:t>
            </w:r>
          </w:p>
        </w:tc>
        <w:tc>
          <w:tcPr>
            <w:tcW w:w="21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default" w:ascii="仿宋" w:hAnsi="仿宋" w:eastAsia="仿宋" w:cs="宋体"/>
                <w:color w:val="000000"/>
                <w:kern w:val="0"/>
                <w:sz w:val="30"/>
                <w:szCs w:val="30"/>
                <w:lang w:val="en-US" w:eastAsia="zh-CN"/>
              </w:rPr>
            </w:pPr>
            <w:r>
              <w:rPr>
                <w:rFonts w:hint="eastAsia" w:ascii="仿宋_GB2312" w:hAnsi="仿宋_GB2312" w:eastAsia="仿宋_GB2312" w:cs="仿宋_GB2312"/>
                <w:color w:val="000000"/>
                <w:sz w:val="24"/>
                <w:lang w:val="en-US" w:eastAsia="zh-CN"/>
              </w:rPr>
              <w:t>0</w:t>
            </w:r>
          </w:p>
        </w:tc>
        <w:tc>
          <w:tcPr>
            <w:tcW w:w="21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default"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lang w:val="en-US" w:eastAsia="zh-CN"/>
              </w:rPr>
              <w:t>0</w:t>
            </w:r>
          </w:p>
        </w:tc>
      </w:tr>
      <w:tr>
        <w:tblPrEx>
          <w:tblCellMar>
            <w:top w:w="0" w:type="dxa"/>
            <w:left w:w="0" w:type="dxa"/>
            <w:bottom w:w="0" w:type="dxa"/>
            <w:right w:w="0" w:type="dxa"/>
          </w:tblCellMar>
        </w:tblPrEx>
        <w:trPr>
          <w:jc w:val="center"/>
        </w:trPr>
        <w:tc>
          <w:tcPr>
            <w:tcW w:w="21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公车购置</w:t>
            </w: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0</w:t>
            </w:r>
          </w:p>
        </w:tc>
        <w:tc>
          <w:tcPr>
            <w:tcW w:w="21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0</w:t>
            </w:r>
          </w:p>
        </w:tc>
        <w:tc>
          <w:tcPr>
            <w:tcW w:w="21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0</w:t>
            </w:r>
          </w:p>
        </w:tc>
      </w:tr>
      <w:tr>
        <w:tblPrEx>
          <w:tblCellMar>
            <w:top w:w="0" w:type="dxa"/>
            <w:left w:w="0" w:type="dxa"/>
            <w:bottom w:w="0" w:type="dxa"/>
            <w:right w:w="0" w:type="dxa"/>
          </w:tblCellMar>
        </w:tblPrEx>
        <w:trPr>
          <w:jc w:val="center"/>
        </w:trPr>
        <w:tc>
          <w:tcPr>
            <w:tcW w:w="21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因公出国</w:t>
            </w: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0</w:t>
            </w:r>
          </w:p>
        </w:tc>
        <w:tc>
          <w:tcPr>
            <w:tcW w:w="21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0</w:t>
            </w:r>
          </w:p>
        </w:tc>
        <w:tc>
          <w:tcPr>
            <w:tcW w:w="21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0</w:t>
            </w:r>
          </w:p>
        </w:tc>
      </w:tr>
      <w:tr>
        <w:tblPrEx>
          <w:tblCellMar>
            <w:top w:w="0" w:type="dxa"/>
            <w:left w:w="0" w:type="dxa"/>
            <w:bottom w:w="0" w:type="dxa"/>
            <w:right w:w="0" w:type="dxa"/>
          </w:tblCellMar>
        </w:tblPrEx>
        <w:trPr>
          <w:jc w:val="center"/>
        </w:trPr>
        <w:tc>
          <w:tcPr>
            <w:tcW w:w="213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合计</w:t>
            </w:r>
          </w:p>
        </w:tc>
        <w:tc>
          <w:tcPr>
            <w:tcW w:w="21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default"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lang w:val="en-US" w:eastAsia="zh-CN"/>
              </w:rPr>
              <w:t>0</w:t>
            </w:r>
          </w:p>
        </w:tc>
        <w:tc>
          <w:tcPr>
            <w:tcW w:w="21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default" w:ascii="仿宋" w:hAnsi="仿宋" w:eastAsia="仿宋" w:cs="宋体"/>
                <w:color w:val="000000"/>
                <w:kern w:val="0"/>
                <w:sz w:val="30"/>
                <w:szCs w:val="30"/>
                <w:lang w:val="en-US" w:eastAsia="zh-CN"/>
              </w:rPr>
            </w:pPr>
            <w:r>
              <w:rPr>
                <w:rFonts w:hint="eastAsia" w:ascii="仿宋_GB2312" w:hAnsi="仿宋_GB2312" w:eastAsia="仿宋_GB2312" w:cs="仿宋_GB2312"/>
                <w:color w:val="000000"/>
                <w:sz w:val="24"/>
                <w:lang w:val="en-US" w:eastAsia="zh-CN"/>
              </w:rPr>
              <w:t>0</w:t>
            </w:r>
          </w:p>
        </w:tc>
        <w:tc>
          <w:tcPr>
            <w:tcW w:w="213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pacing w:line="620" w:lineRule="exact"/>
              <w:jc w:val="center"/>
              <w:outlineLvl w:val="9"/>
              <w:rPr>
                <w:rFonts w:hint="default"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lang w:val="en-US" w:eastAsia="zh-CN"/>
              </w:rPr>
              <w:t>0</w:t>
            </w:r>
          </w:p>
        </w:tc>
      </w:tr>
    </w:tbl>
    <w:p>
      <w:pPr>
        <w:keepNext w:val="0"/>
        <w:keepLines w:val="0"/>
        <w:pageBreakBefore w:val="0"/>
        <w:widowControl/>
        <w:kinsoku/>
        <w:wordWrap/>
        <w:overflowPunct/>
        <w:topLinePunct w:val="0"/>
        <w:autoSpaceDE/>
        <w:autoSpaceDN/>
        <w:bidi w:val="0"/>
        <w:spacing w:line="620" w:lineRule="exact"/>
        <w:ind w:firstLine="640"/>
        <w:jc w:val="left"/>
        <w:outlineLvl w:val="9"/>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lang w:eastAsia="zh-CN"/>
        </w:rPr>
        <w:t>因</w:t>
      </w:r>
      <w:r>
        <w:rPr>
          <w:rFonts w:hint="eastAsia" w:ascii="仿宋" w:hAnsi="仿宋" w:eastAsia="仿宋" w:cs="宋体"/>
          <w:color w:val="000000"/>
          <w:kern w:val="0"/>
          <w:sz w:val="30"/>
          <w:szCs w:val="30"/>
          <w:lang w:val="en-US" w:eastAsia="zh-CN"/>
        </w:rPr>
        <w:t>2022年环保垂管改革</w:t>
      </w: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eastAsia="zh-CN"/>
        </w:rPr>
        <w:t>县级预算没有安排“三公”经费预算，我局公用经费及人员经费上收市级预算，</w:t>
      </w:r>
      <w:r>
        <w:rPr>
          <w:rFonts w:hint="eastAsia" w:ascii="仿宋" w:hAnsi="仿宋" w:eastAsia="仿宋" w:cs="宋体"/>
          <w:color w:val="000000"/>
          <w:kern w:val="0"/>
          <w:sz w:val="30"/>
          <w:szCs w:val="30"/>
        </w:rPr>
        <w:t>在“三公”经费的管理上，我局能严格制度执行，强化公务用车管理，严格招待费用的审核审批程序，“三公”经费较好地控制在预算范围之内。</w:t>
      </w:r>
    </w:p>
    <w:p>
      <w:pPr>
        <w:keepNext w:val="0"/>
        <w:keepLines w:val="0"/>
        <w:pageBreakBefore w:val="0"/>
        <w:widowControl/>
        <w:kinsoku/>
        <w:wordWrap/>
        <w:overflowPunct/>
        <w:topLinePunct w:val="0"/>
        <w:autoSpaceDE/>
        <w:autoSpaceDN/>
        <w:bidi w:val="0"/>
        <w:spacing w:line="620" w:lineRule="exact"/>
        <w:ind w:firstLine="640"/>
        <w:jc w:val="left"/>
        <w:outlineLvl w:val="9"/>
        <w:rPr>
          <w:rFonts w:hint="eastAsia" w:ascii="仿宋" w:hAnsi="仿宋" w:eastAsia="仿宋" w:cs="宋体"/>
          <w:b/>
          <w:color w:val="000000"/>
          <w:kern w:val="0"/>
          <w:sz w:val="30"/>
          <w:szCs w:val="30"/>
        </w:rPr>
      </w:pPr>
      <w:r>
        <w:rPr>
          <w:rFonts w:hint="eastAsia" w:ascii="仿宋" w:hAnsi="仿宋" w:eastAsia="仿宋" w:cs="宋体"/>
          <w:b/>
          <w:color w:val="000000"/>
          <w:kern w:val="0"/>
          <w:sz w:val="30"/>
          <w:szCs w:val="30"/>
          <w:lang w:val="en-US" w:eastAsia="zh-CN"/>
        </w:rPr>
        <w:t>2、</w:t>
      </w:r>
      <w:r>
        <w:rPr>
          <w:rFonts w:hint="eastAsia" w:ascii="仿宋" w:hAnsi="仿宋" w:eastAsia="仿宋" w:cs="宋体"/>
          <w:b/>
          <w:color w:val="000000"/>
          <w:kern w:val="0"/>
          <w:sz w:val="30"/>
          <w:szCs w:val="30"/>
        </w:rPr>
        <w:t>专项支出</w:t>
      </w:r>
    </w:p>
    <w:p>
      <w:pPr>
        <w:keepNext w:val="0"/>
        <w:keepLines w:val="0"/>
        <w:pageBreakBefore w:val="0"/>
        <w:widowControl/>
        <w:kinsoku/>
        <w:wordWrap/>
        <w:overflowPunct/>
        <w:topLinePunct w:val="0"/>
        <w:autoSpaceDE/>
        <w:autoSpaceDN/>
        <w:bidi w:val="0"/>
        <w:spacing w:line="620" w:lineRule="exact"/>
        <w:ind w:firstLine="643"/>
        <w:jc w:val="left"/>
        <w:outlineLvl w:val="9"/>
        <w:rPr>
          <w:rFonts w:hint="eastAsia" w:ascii="仿宋" w:hAnsi="仿宋" w:eastAsia="仿宋" w:cs="宋体"/>
          <w:b/>
          <w:bCs/>
          <w:color w:val="000000"/>
          <w:kern w:val="0"/>
          <w:sz w:val="30"/>
          <w:szCs w:val="30"/>
        </w:rPr>
      </w:pPr>
      <w:r>
        <w:rPr>
          <w:rFonts w:hint="eastAsia" w:ascii="仿宋" w:hAnsi="仿宋" w:eastAsia="仿宋" w:cs="宋体"/>
          <w:b/>
          <w:bCs/>
          <w:color w:val="000000"/>
          <w:kern w:val="0"/>
          <w:sz w:val="30"/>
          <w:szCs w:val="30"/>
          <w:lang w:val="en-US" w:eastAsia="zh-CN"/>
        </w:rPr>
        <w:t>①</w:t>
      </w:r>
      <w:r>
        <w:rPr>
          <w:rFonts w:hint="eastAsia" w:ascii="仿宋" w:hAnsi="仿宋" w:eastAsia="仿宋" w:cs="宋体"/>
          <w:b/>
          <w:bCs/>
          <w:color w:val="000000"/>
          <w:kern w:val="0"/>
          <w:sz w:val="30"/>
          <w:szCs w:val="30"/>
        </w:rPr>
        <w:t>专项资金安排落实、总投入等情况分析</w:t>
      </w:r>
      <w:r>
        <w:rPr>
          <w:rFonts w:hint="eastAsia" w:ascii="仿宋" w:hAnsi="仿宋" w:eastAsia="仿宋" w:cs="宋体"/>
          <w:b/>
          <w:bCs/>
          <w:color w:val="000000"/>
          <w:kern w:val="0"/>
          <w:sz w:val="30"/>
          <w:szCs w:val="30"/>
          <w:lang w:eastAsia="zh-CN"/>
        </w:rPr>
        <w:t>。</w:t>
      </w:r>
      <w:r>
        <w:rPr>
          <w:rFonts w:hint="eastAsia" w:ascii="仿宋" w:hAnsi="仿宋" w:eastAsia="仿宋" w:cs="宋体"/>
          <w:color w:val="000000"/>
          <w:kern w:val="0"/>
          <w:sz w:val="30"/>
          <w:szCs w:val="30"/>
        </w:rPr>
        <w:t>20</w:t>
      </w:r>
      <w:r>
        <w:rPr>
          <w:rFonts w:hint="eastAsia" w:ascii="仿宋" w:hAnsi="仿宋" w:eastAsia="仿宋" w:cs="宋体"/>
          <w:color w:val="000000"/>
          <w:kern w:val="0"/>
          <w:sz w:val="30"/>
          <w:szCs w:val="30"/>
          <w:lang w:val="en-US" w:eastAsia="zh-CN"/>
        </w:rPr>
        <w:t>22</w:t>
      </w:r>
      <w:r>
        <w:rPr>
          <w:rFonts w:hint="eastAsia" w:ascii="仿宋" w:hAnsi="仿宋" w:eastAsia="仿宋" w:cs="宋体"/>
          <w:color w:val="000000"/>
          <w:kern w:val="0"/>
          <w:sz w:val="30"/>
          <w:szCs w:val="30"/>
        </w:rPr>
        <w:t>年，本部门专项资金的来源主要是县人民政府根据我局所承担的工作任务的特点由县财政局统筹安排的，本局按照批拨专项资金总额，结合工作任务实际逐一安排到位，做了专款专用，确保了各项任务的完成。</w:t>
      </w:r>
    </w:p>
    <w:p>
      <w:pPr>
        <w:keepNext w:val="0"/>
        <w:keepLines w:val="0"/>
        <w:pageBreakBefore w:val="0"/>
        <w:widowControl/>
        <w:kinsoku/>
        <w:wordWrap/>
        <w:overflowPunct/>
        <w:topLinePunct w:val="0"/>
        <w:autoSpaceDE/>
        <w:autoSpaceDN/>
        <w:bidi w:val="0"/>
        <w:spacing w:line="620" w:lineRule="exact"/>
        <w:ind w:firstLine="602" w:firstLineChars="200"/>
        <w:jc w:val="left"/>
        <w:outlineLvl w:val="9"/>
        <w:rPr>
          <w:rFonts w:hint="eastAsia" w:ascii="仿宋" w:hAnsi="仿宋" w:eastAsia="仿宋" w:cs="宋体"/>
          <w:color w:val="000000"/>
          <w:kern w:val="0"/>
          <w:sz w:val="30"/>
          <w:szCs w:val="30"/>
          <w:u w:val="none"/>
          <w:lang w:val="en-US" w:eastAsia="zh-CN"/>
        </w:rPr>
      </w:pPr>
      <w:r>
        <w:rPr>
          <w:rFonts w:hint="eastAsia" w:ascii="仿宋" w:hAnsi="仿宋" w:eastAsia="仿宋" w:cs="宋体"/>
          <w:b/>
          <w:bCs/>
          <w:color w:val="000000"/>
          <w:kern w:val="0"/>
          <w:sz w:val="30"/>
          <w:szCs w:val="30"/>
          <w:lang w:val="en-US" w:eastAsia="zh-CN"/>
        </w:rPr>
        <w:t>②</w:t>
      </w:r>
      <w:r>
        <w:rPr>
          <w:rFonts w:hint="eastAsia" w:ascii="仿宋" w:hAnsi="仿宋" w:eastAsia="仿宋" w:cs="宋体"/>
          <w:b/>
          <w:bCs/>
          <w:color w:val="000000"/>
          <w:kern w:val="0"/>
          <w:sz w:val="30"/>
          <w:szCs w:val="30"/>
        </w:rPr>
        <w:t>专项资金实际使用情况分析</w:t>
      </w:r>
      <w:r>
        <w:rPr>
          <w:rFonts w:hint="eastAsia" w:ascii="仿宋" w:hAnsi="仿宋" w:eastAsia="仿宋" w:cs="宋体"/>
          <w:b/>
          <w:bCs/>
          <w:color w:val="000000"/>
          <w:kern w:val="0"/>
          <w:sz w:val="30"/>
          <w:szCs w:val="30"/>
          <w:lang w:eastAsia="zh-CN"/>
        </w:rPr>
        <w:t>。</w:t>
      </w:r>
      <w:r>
        <w:rPr>
          <w:rFonts w:hint="eastAsia" w:ascii="仿宋" w:hAnsi="仿宋" w:eastAsia="仿宋" w:cs="宋体"/>
          <w:color w:val="000000"/>
          <w:kern w:val="0"/>
          <w:sz w:val="30"/>
          <w:szCs w:val="30"/>
        </w:rPr>
        <w:t>20</w:t>
      </w:r>
      <w:r>
        <w:rPr>
          <w:rFonts w:hint="eastAsia" w:ascii="仿宋" w:hAnsi="仿宋" w:eastAsia="仿宋" w:cs="宋体"/>
          <w:color w:val="000000"/>
          <w:kern w:val="0"/>
          <w:sz w:val="30"/>
          <w:szCs w:val="30"/>
          <w:lang w:val="en-US" w:eastAsia="zh-CN"/>
        </w:rPr>
        <w:t>22</w:t>
      </w:r>
      <w:r>
        <w:rPr>
          <w:rFonts w:hint="eastAsia" w:ascii="仿宋" w:hAnsi="仿宋" w:eastAsia="仿宋" w:cs="宋体"/>
          <w:color w:val="000000"/>
          <w:kern w:val="0"/>
          <w:sz w:val="30"/>
          <w:szCs w:val="30"/>
        </w:rPr>
        <w:t>年，本部门项目</w:t>
      </w:r>
      <w:r>
        <w:rPr>
          <w:rFonts w:hint="eastAsia" w:ascii="仿宋" w:hAnsi="仿宋" w:eastAsia="仿宋" w:cs="宋体"/>
          <w:color w:val="000000"/>
          <w:kern w:val="0"/>
          <w:sz w:val="30"/>
          <w:szCs w:val="30"/>
          <w:lang w:eastAsia="zh-CN"/>
        </w:rPr>
        <w:t>资金</w:t>
      </w:r>
      <w:r>
        <w:rPr>
          <w:rFonts w:hint="eastAsia" w:ascii="仿宋" w:hAnsi="仿宋" w:eastAsia="仿宋" w:cs="宋体"/>
          <w:color w:val="000000"/>
          <w:kern w:val="0"/>
          <w:sz w:val="30"/>
          <w:szCs w:val="30"/>
        </w:rPr>
        <w:t>全部投入各环保专项建设中</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rPr>
        <w:t>为本部门职能职责的实施提供了资金保障。</w:t>
      </w:r>
      <w:r>
        <w:rPr>
          <w:rFonts w:hint="eastAsia" w:ascii="仿宋" w:hAnsi="仿宋" w:eastAsia="仿宋" w:cs="宋体"/>
          <w:color w:val="000000"/>
          <w:kern w:val="0"/>
          <w:sz w:val="30"/>
          <w:szCs w:val="30"/>
          <w:lang w:eastAsia="zh-CN"/>
        </w:rPr>
        <w:t>项目</w:t>
      </w:r>
      <w:r>
        <w:rPr>
          <w:rFonts w:hint="eastAsia" w:ascii="仿宋" w:hAnsi="仿宋" w:eastAsia="仿宋" w:cs="宋体"/>
          <w:color w:val="000000"/>
          <w:kern w:val="0"/>
          <w:sz w:val="30"/>
          <w:szCs w:val="30"/>
        </w:rPr>
        <w:t>资金</w:t>
      </w:r>
      <w:r>
        <w:rPr>
          <w:rFonts w:hint="eastAsia" w:ascii="仿宋" w:hAnsi="仿宋" w:eastAsia="仿宋" w:cs="宋体"/>
          <w:color w:val="000000"/>
          <w:kern w:val="0"/>
          <w:sz w:val="30"/>
          <w:szCs w:val="30"/>
          <w:lang w:eastAsia="zh-CN"/>
        </w:rPr>
        <w:t>为</w:t>
      </w:r>
      <w:r>
        <w:rPr>
          <w:rFonts w:hint="eastAsia" w:ascii="仿宋" w:hAnsi="仿宋" w:eastAsia="仿宋" w:cs="宋体"/>
          <w:color w:val="000000"/>
          <w:kern w:val="0"/>
          <w:sz w:val="30"/>
          <w:szCs w:val="30"/>
        </w:rPr>
        <w:t>业务工作</w:t>
      </w:r>
      <w:r>
        <w:rPr>
          <w:rFonts w:hint="eastAsia" w:ascii="仿宋" w:hAnsi="仿宋" w:eastAsia="仿宋" w:cs="宋体"/>
          <w:color w:val="000000"/>
          <w:kern w:val="0"/>
          <w:sz w:val="30"/>
          <w:szCs w:val="30"/>
          <w:lang w:eastAsia="zh-CN"/>
        </w:rPr>
        <w:t>及污染防治</w:t>
      </w:r>
      <w:r>
        <w:rPr>
          <w:rFonts w:hint="eastAsia" w:ascii="仿宋" w:hAnsi="仿宋" w:eastAsia="仿宋" w:cs="宋体"/>
          <w:color w:val="000000"/>
          <w:kern w:val="0"/>
          <w:sz w:val="30"/>
          <w:szCs w:val="30"/>
        </w:rPr>
        <w:t>专项</w:t>
      </w:r>
      <w:r>
        <w:rPr>
          <w:rFonts w:hint="eastAsia" w:ascii="仿宋" w:hAnsi="仿宋" w:eastAsia="仿宋" w:cs="宋体"/>
          <w:color w:val="000000"/>
          <w:kern w:val="0"/>
          <w:sz w:val="30"/>
          <w:szCs w:val="30"/>
          <w:lang w:eastAsia="zh-CN"/>
        </w:rPr>
        <w:t>支出</w:t>
      </w:r>
      <w:r>
        <w:rPr>
          <w:rFonts w:hint="eastAsia" w:ascii="仿宋_GB2312" w:hAnsi="仿宋" w:eastAsia="仿宋_GB2312"/>
          <w:sz w:val="28"/>
          <w:szCs w:val="28"/>
          <w:lang w:val="en-US" w:eastAsia="zh-CN"/>
        </w:rPr>
        <w:t>1224.6</w:t>
      </w:r>
      <w:r>
        <w:rPr>
          <w:rFonts w:hint="eastAsia" w:ascii="仿宋" w:hAnsi="仿宋" w:eastAsia="仿宋" w:cs="宋体"/>
          <w:color w:val="000000"/>
          <w:kern w:val="0"/>
          <w:sz w:val="30"/>
          <w:szCs w:val="30"/>
        </w:rPr>
        <w:t>万元，</w:t>
      </w:r>
      <w:r>
        <w:rPr>
          <w:rFonts w:hint="eastAsia" w:ascii="仿宋" w:hAnsi="仿宋" w:eastAsia="仿宋" w:cs="宋体"/>
          <w:color w:val="000000"/>
          <w:kern w:val="0"/>
          <w:sz w:val="30"/>
          <w:szCs w:val="30"/>
          <w:u w:val="none"/>
        </w:rPr>
        <w:t>其主要用途为：生态功能区</w:t>
      </w:r>
      <w:r>
        <w:rPr>
          <w:rFonts w:hint="eastAsia" w:ascii="仿宋" w:hAnsi="仿宋" w:eastAsia="仿宋" w:cs="宋体"/>
          <w:color w:val="000000"/>
          <w:kern w:val="0"/>
          <w:sz w:val="30"/>
          <w:szCs w:val="30"/>
          <w:u w:val="none"/>
          <w:lang w:eastAsia="zh-CN"/>
        </w:rPr>
        <w:t>考核、</w:t>
      </w:r>
      <w:r>
        <w:rPr>
          <w:rFonts w:hint="eastAsia" w:ascii="仿宋" w:hAnsi="仿宋" w:eastAsia="仿宋" w:cs="宋体"/>
          <w:color w:val="000000"/>
          <w:kern w:val="0"/>
          <w:sz w:val="30"/>
          <w:szCs w:val="30"/>
          <w:u w:val="none"/>
        </w:rPr>
        <w:t>生态示范县创建</w:t>
      </w:r>
      <w:r>
        <w:rPr>
          <w:rFonts w:hint="eastAsia" w:ascii="仿宋" w:hAnsi="仿宋" w:eastAsia="仿宋" w:cs="宋体"/>
          <w:color w:val="000000"/>
          <w:kern w:val="0"/>
          <w:sz w:val="30"/>
          <w:szCs w:val="30"/>
          <w:u w:val="none"/>
          <w:lang w:eastAsia="zh-CN"/>
        </w:rPr>
        <w:t>、</w:t>
      </w:r>
      <w:r>
        <w:rPr>
          <w:rFonts w:hint="eastAsia" w:ascii="仿宋" w:hAnsi="仿宋" w:eastAsia="仿宋" w:cs="宋体"/>
          <w:color w:val="000000"/>
          <w:kern w:val="0"/>
          <w:sz w:val="30"/>
          <w:szCs w:val="30"/>
          <w:u w:val="none"/>
        </w:rPr>
        <w:t>环保监测工作</w:t>
      </w:r>
      <w:r>
        <w:rPr>
          <w:rFonts w:hint="eastAsia" w:ascii="仿宋" w:hAnsi="仿宋" w:eastAsia="仿宋" w:cs="宋体"/>
          <w:color w:val="000000"/>
          <w:kern w:val="0"/>
          <w:sz w:val="30"/>
          <w:szCs w:val="30"/>
          <w:u w:val="none"/>
          <w:lang w:eastAsia="zh-CN"/>
        </w:rPr>
        <w:t>、</w:t>
      </w:r>
      <w:r>
        <w:rPr>
          <w:rFonts w:hint="eastAsia" w:ascii="仿宋" w:hAnsi="仿宋" w:eastAsia="仿宋" w:cs="宋体"/>
          <w:color w:val="000000"/>
          <w:kern w:val="0"/>
          <w:sz w:val="30"/>
          <w:szCs w:val="30"/>
          <w:u w:val="none"/>
        </w:rPr>
        <w:t>监测站运行</w:t>
      </w:r>
      <w:r>
        <w:rPr>
          <w:rFonts w:hint="eastAsia" w:ascii="仿宋" w:hAnsi="仿宋" w:eastAsia="仿宋" w:cs="宋体"/>
          <w:color w:val="000000"/>
          <w:kern w:val="0"/>
          <w:sz w:val="30"/>
          <w:szCs w:val="30"/>
          <w:u w:val="none"/>
          <w:lang w:eastAsia="zh-CN"/>
        </w:rPr>
        <w:t>、</w:t>
      </w:r>
      <w:r>
        <w:rPr>
          <w:rFonts w:hint="eastAsia" w:ascii="仿宋" w:hAnsi="仿宋" w:eastAsia="仿宋" w:cs="宋体"/>
          <w:color w:val="000000"/>
          <w:kern w:val="0"/>
          <w:sz w:val="30"/>
          <w:szCs w:val="30"/>
          <w:u w:val="none"/>
        </w:rPr>
        <w:t>县金鸡岩污染治理</w:t>
      </w:r>
      <w:r>
        <w:rPr>
          <w:rFonts w:hint="eastAsia" w:ascii="仿宋" w:hAnsi="仿宋" w:eastAsia="仿宋" w:cs="宋体"/>
          <w:color w:val="000000"/>
          <w:kern w:val="0"/>
          <w:sz w:val="30"/>
          <w:szCs w:val="30"/>
          <w:u w:val="none"/>
          <w:lang w:eastAsia="zh-CN"/>
        </w:rPr>
        <w:t>及废水站运营、</w:t>
      </w:r>
      <w:r>
        <w:rPr>
          <w:rFonts w:hint="eastAsia" w:ascii="仿宋" w:hAnsi="仿宋" w:eastAsia="仿宋" w:cs="宋体"/>
          <w:color w:val="000000"/>
          <w:kern w:val="0"/>
          <w:sz w:val="30"/>
          <w:szCs w:val="30"/>
          <w:u w:val="none"/>
        </w:rPr>
        <w:t>新红友采石场</w:t>
      </w:r>
      <w:r>
        <w:rPr>
          <w:rFonts w:hint="eastAsia" w:ascii="仿宋" w:hAnsi="仿宋" w:eastAsia="仿宋" w:cs="宋体"/>
          <w:color w:val="000000"/>
          <w:kern w:val="0"/>
          <w:sz w:val="30"/>
          <w:szCs w:val="30"/>
          <w:u w:val="none"/>
          <w:lang w:eastAsia="zh-CN"/>
        </w:rPr>
        <w:t>废水站运营</w:t>
      </w:r>
      <w:r>
        <w:rPr>
          <w:rFonts w:hint="eastAsia" w:ascii="仿宋" w:hAnsi="仿宋" w:eastAsia="仿宋" w:cs="宋体"/>
          <w:color w:val="000000"/>
          <w:kern w:val="0"/>
          <w:sz w:val="30"/>
          <w:szCs w:val="30"/>
          <w:u w:val="none"/>
          <w:lang w:val="en-US" w:eastAsia="zh-CN"/>
        </w:rPr>
        <w:t>、</w:t>
      </w:r>
      <w:r>
        <w:rPr>
          <w:rFonts w:hint="eastAsia" w:ascii="仿宋" w:hAnsi="仿宋" w:eastAsia="仿宋" w:cs="宋体"/>
          <w:color w:val="000000"/>
          <w:kern w:val="0"/>
          <w:sz w:val="30"/>
          <w:szCs w:val="30"/>
          <w:u w:val="none"/>
        </w:rPr>
        <w:t>江东大笋平水质自动站</w:t>
      </w:r>
      <w:r>
        <w:rPr>
          <w:rFonts w:hint="eastAsia" w:ascii="仿宋" w:hAnsi="仿宋" w:eastAsia="仿宋" w:cs="宋体"/>
          <w:color w:val="000000"/>
          <w:kern w:val="0"/>
          <w:sz w:val="30"/>
          <w:szCs w:val="30"/>
          <w:u w:val="none"/>
          <w:lang w:eastAsia="zh-CN"/>
        </w:rPr>
        <w:t>运营</w:t>
      </w:r>
      <w:r>
        <w:rPr>
          <w:rFonts w:hint="eastAsia" w:ascii="仿宋" w:hAnsi="仿宋" w:eastAsia="仿宋" w:cs="宋体"/>
          <w:color w:val="000000"/>
          <w:kern w:val="0"/>
          <w:sz w:val="30"/>
          <w:szCs w:val="30"/>
          <w:u w:val="none"/>
          <w:lang w:val="en-US" w:eastAsia="zh-CN"/>
        </w:rPr>
        <w:t>、</w:t>
      </w:r>
      <w:r>
        <w:rPr>
          <w:rFonts w:hint="eastAsia" w:ascii="仿宋" w:hAnsi="仿宋" w:eastAsia="仿宋" w:cs="宋体"/>
          <w:color w:val="000000"/>
          <w:kern w:val="0"/>
          <w:sz w:val="30"/>
          <w:szCs w:val="30"/>
          <w:u w:val="none"/>
          <w:lang w:eastAsia="zh-CN"/>
        </w:rPr>
        <w:t>农村环境质量检测、黑臭水体监测等。</w:t>
      </w:r>
    </w:p>
    <w:p>
      <w:pPr>
        <w:keepNext w:val="0"/>
        <w:keepLines w:val="0"/>
        <w:pageBreakBefore w:val="0"/>
        <w:widowControl/>
        <w:kinsoku/>
        <w:wordWrap/>
        <w:overflowPunct/>
        <w:topLinePunct w:val="0"/>
        <w:autoSpaceDE/>
        <w:autoSpaceDN/>
        <w:bidi w:val="0"/>
        <w:spacing w:line="620" w:lineRule="exact"/>
        <w:ind w:firstLine="643"/>
        <w:jc w:val="left"/>
        <w:outlineLvl w:val="9"/>
        <w:rPr>
          <w:rFonts w:hint="eastAsia" w:ascii="仿宋" w:hAnsi="仿宋" w:eastAsia="仿宋" w:cs="宋体"/>
          <w:color w:val="000000"/>
          <w:kern w:val="0"/>
          <w:sz w:val="30"/>
          <w:szCs w:val="30"/>
        </w:rPr>
      </w:pPr>
      <w:r>
        <w:rPr>
          <w:rFonts w:hint="eastAsia" w:ascii="仿宋" w:hAnsi="仿宋" w:eastAsia="仿宋" w:cs="宋体"/>
          <w:b/>
          <w:bCs/>
          <w:color w:val="000000"/>
          <w:kern w:val="0"/>
          <w:sz w:val="30"/>
          <w:szCs w:val="30"/>
          <w:lang w:eastAsia="zh-CN"/>
        </w:rPr>
        <w:t>③</w:t>
      </w:r>
      <w:r>
        <w:rPr>
          <w:rFonts w:hint="eastAsia" w:ascii="仿宋_GB2312" w:hAnsi="仿宋_GB2312" w:eastAsia="仿宋_GB2312" w:cs="仿宋_GB2312"/>
          <w:b/>
          <w:bCs w:val="0"/>
          <w:sz w:val="28"/>
          <w:szCs w:val="28"/>
        </w:rPr>
        <w:t>专项资金管理情况分析</w:t>
      </w:r>
      <w:r>
        <w:rPr>
          <w:rFonts w:hint="eastAsia" w:ascii="仿宋_GB2312" w:hAnsi="仿宋_GB2312" w:eastAsia="仿宋_GB2312" w:cs="仿宋_GB2312"/>
          <w:b/>
          <w:bCs w:val="0"/>
          <w:sz w:val="28"/>
          <w:szCs w:val="28"/>
          <w:lang w:eastAsia="zh-CN"/>
        </w:rPr>
        <w:t>。</w:t>
      </w:r>
      <w:r>
        <w:rPr>
          <w:rFonts w:hint="eastAsia" w:ascii="仿宋" w:hAnsi="仿宋" w:eastAsia="仿宋" w:cs="宋体"/>
          <w:color w:val="000000"/>
          <w:kern w:val="0"/>
          <w:sz w:val="30"/>
          <w:szCs w:val="30"/>
        </w:rPr>
        <w:t>为加强资金安排管理，</w:t>
      </w:r>
      <w:r>
        <w:rPr>
          <w:rFonts w:hint="eastAsia" w:ascii="仿宋" w:hAnsi="仿宋" w:eastAsia="仿宋" w:cs="宋体"/>
          <w:color w:val="000000"/>
          <w:kern w:val="0"/>
          <w:sz w:val="30"/>
          <w:szCs w:val="30"/>
          <w:lang w:eastAsia="zh-CN"/>
        </w:rPr>
        <w:t>我局严格执行</w:t>
      </w:r>
      <w:r>
        <w:rPr>
          <w:rFonts w:hint="eastAsia" w:ascii="仿宋" w:hAnsi="仿宋" w:eastAsia="仿宋" w:cs="宋体"/>
          <w:color w:val="000000"/>
          <w:kern w:val="0"/>
          <w:sz w:val="30"/>
          <w:szCs w:val="30"/>
        </w:rPr>
        <w:t>《财务管理制度》、《接待制度》、《车辆使用管理制度》、《资产管理制度》、《专项资金管理制度》等12项管理制度</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rPr>
        <w:t>加强</w:t>
      </w:r>
      <w:r>
        <w:rPr>
          <w:rFonts w:hint="eastAsia" w:ascii="仿宋" w:hAnsi="仿宋" w:eastAsia="仿宋" w:cs="宋体"/>
          <w:color w:val="000000"/>
          <w:kern w:val="0"/>
          <w:sz w:val="30"/>
          <w:szCs w:val="30"/>
          <w:lang w:eastAsia="zh-CN"/>
        </w:rPr>
        <w:t>对</w:t>
      </w:r>
      <w:r>
        <w:rPr>
          <w:rFonts w:hint="eastAsia" w:ascii="仿宋" w:hAnsi="仿宋" w:eastAsia="仿宋" w:cs="宋体"/>
          <w:color w:val="000000"/>
          <w:kern w:val="0"/>
          <w:sz w:val="30"/>
          <w:szCs w:val="30"/>
        </w:rPr>
        <w:t>资金使用过程中的监督监控，实现了</w:t>
      </w:r>
      <w:r>
        <w:rPr>
          <w:rFonts w:hint="eastAsia" w:ascii="仿宋" w:hAnsi="仿宋" w:eastAsia="仿宋" w:cs="宋体"/>
          <w:color w:val="000000"/>
          <w:kern w:val="0"/>
          <w:sz w:val="30"/>
          <w:szCs w:val="30"/>
          <w:lang w:eastAsia="zh-CN"/>
        </w:rPr>
        <w:t>资金的</w:t>
      </w:r>
      <w:r>
        <w:rPr>
          <w:rFonts w:hint="eastAsia" w:ascii="仿宋" w:hAnsi="仿宋" w:eastAsia="仿宋" w:cs="宋体"/>
          <w:color w:val="000000"/>
          <w:kern w:val="0"/>
          <w:sz w:val="30"/>
          <w:szCs w:val="30"/>
        </w:rPr>
        <w:t>集中管理、分别实施、按级负责、责任到人的管理办法，确保</w:t>
      </w:r>
      <w:r>
        <w:rPr>
          <w:rFonts w:hint="eastAsia" w:ascii="仿宋" w:hAnsi="仿宋" w:eastAsia="仿宋" w:cs="宋体"/>
          <w:color w:val="000000"/>
          <w:kern w:val="0"/>
          <w:sz w:val="30"/>
          <w:szCs w:val="30"/>
          <w:lang w:eastAsia="zh-CN"/>
        </w:rPr>
        <w:t>了</w:t>
      </w:r>
      <w:r>
        <w:rPr>
          <w:rFonts w:hint="eastAsia" w:ascii="仿宋" w:hAnsi="仿宋" w:eastAsia="仿宋" w:cs="宋体"/>
          <w:color w:val="000000"/>
          <w:kern w:val="0"/>
          <w:sz w:val="30"/>
          <w:szCs w:val="30"/>
        </w:rPr>
        <w:t>财政经费的有序运行</w:t>
      </w:r>
      <w:r>
        <w:rPr>
          <w:rFonts w:hint="eastAsia" w:ascii="仿宋" w:hAnsi="仿宋" w:eastAsia="仿宋" w:cs="宋体"/>
          <w:color w:val="000000"/>
          <w:kern w:val="0"/>
          <w:sz w:val="30"/>
          <w:szCs w:val="30"/>
          <w:lang w:eastAsia="zh-CN"/>
        </w:rPr>
        <w:t>，</w:t>
      </w:r>
      <w:r>
        <w:rPr>
          <w:rFonts w:hint="eastAsia" w:ascii="仿宋" w:hAnsi="仿宋" w:eastAsia="仿宋" w:cs="宋体"/>
          <w:color w:val="000000"/>
          <w:kern w:val="0"/>
          <w:sz w:val="30"/>
          <w:szCs w:val="30"/>
        </w:rPr>
        <w:t>产生</w:t>
      </w:r>
      <w:r>
        <w:rPr>
          <w:rFonts w:hint="eastAsia" w:ascii="仿宋" w:hAnsi="仿宋" w:eastAsia="仿宋" w:cs="宋体"/>
          <w:color w:val="000000"/>
          <w:kern w:val="0"/>
          <w:sz w:val="30"/>
          <w:szCs w:val="30"/>
          <w:lang w:eastAsia="zh-CN"/>
        </w:rPr>
        <w:t>了</w:t>
      </w:r>
      <w:r>
        <w:rPr>
          <w:rFonts w:hint="eastAsia" w:ascii="仿宋" w:hAnsi="仿宋" w:eastAsia="仿宋" w:cs="宋体"/>
          <w:color w:val="000000"/>
          <w:kern w:val="0"/>
          <w:sz w:val="30"/>
          <w:szCs w:val="30"/>
        </w:rPr>
        <w:t>明显的环境、经济和社会效益。</w:t>
      </w:r>
    </w:p>
    <w:p>
      <w:pPr>
        <w:keepNext w:val="0"/>
        <w:keepLines w:val="0"/>
        <w:pageBreakBefore w:val="0"/>
        <w:widowControl/>
        <w:kinsoku/>
        <w:wordWrap/>
        <w:overflowPunct/>
        <w:topLinePunct w:val="0"/>
        <w:autoSpaceDE/>
        <w:autoSpaceDN/>
        <w:bidi w:val="0"/>
        <w:spacing w:line="620" w:lineRule="exact"/>
        <w:ind w:firstLine="640"/>
        <w:jc w:val="left"/>
        <w:outlineLvl w:val="9"/>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三、</w:t>
      </w:r>
      <w:r>
        <w:rPr>
          <w:rFonts w:hint="eastAsia" w:ascii="仿宋" w:hAnsi="仿宋" w:eastAsia="仿宋" w:cs="仿宋"/>
          <w:b/>
          <w:bCs/>
          <w:color w:val="000000"/>
          <w:kern w:val="0"/>
          <w:sz w:val="30"/>
          <w:szCs w:val="30"/>
          <w:lang w:eastAsia="zh-CN"/>
        </w:rPr>
        <w:t>单位</w:t>
      </w:r>
      <w:r>
        <w:rPr>
          <w:rFonts w:hint="eastAsia" w:ascii="仿宋" w:hAnsi="仿宋" w:eastAsia="仿宋" w:cs="仿宋"/>
          <w:b/>
          <w:bCs/>
          <w:color w:val="000000"/>
          <w:kern w:val="0"/>
          <w:sz w:val="30"/>
          <w:szCs w:val="30"/>
        </w:rPr>
        <w:t>专项组织实施情况</w:t>
      </w:r>
    </w:p>
    <w:p>
      <w:pPr>
        <w:keepNext w:val="0"/>
        <w:keepLines w:val="0"/>
        <w:pageBreakBefore w:val="0"/>
        <w:widowControl/>
        <w:kinsoku/>
        <w:wordWrap/>
        <w:overflowPunct/>
        <w:topLinePunct w:val="0"/>
        <w:autoSpaceDE/>
        <w:autoSpaceDN/>
        <w:bidi w:val="0"/>
        <w:spacing w:line="620" w:lineRule="exact"/>
        <w:ind w:firstLine="602" w:firstLineChars="200"/>
        <w:jc w:val="left"/>
        <w:outlineLvl w:val="9"/>
        <w:rPr>
          <w:rFonts w:hint="eastAsia" w:ascii="仿宋" w:hAnsi="仿宋" w:eastAsia="仿宋" w:cs="宋体"/>
          <w:color w:val="000000"/>
          <w:kern w:val="0"/>
          <w:sz w:val="30"/>
          <w:szCs w:val="30"/>
          <w:lang w:val="en-US" w:eastAsia="zh-CN"/>
        </w:rPr>
      </w:pPr>
      <w:r>
        <w:rPr>
          <w:rFonts w:hint="eastAsia" w:ascii="仿宋" w:hAnsi="仿宋" w:eastAsia="仿宋" w:cs="宋体"/>
          <w:b/>
          <w:bCs/>
          <w:color w:val="000000"/>
          <w:kern w:val="0"/>
          <w:sz w:val="30"/>
          <w:szCs w:val="30"/>
          <w:lang w:val="en-US" w:eastAsia="zh-CN" w:bidi="ar-SA"/>
        </w:rPr>
        <w:t>1、专项组织情况分析。</w:t>
      </w:r>
      <w:r>
        <w:rPr>
          <w:rFonts w:hint="eastAsia" w:ascii="仿宋" w:hAnsi="仿宋" w:eastAsia="仿宋" w:cs="宋体"/>
          <w:color w:val="000000"/>
          <w:kern w:val="0"/>
          <w:sz w:val="30"/>
          <w:szCs w:val="30"/>
          <w:lang w:val="en-US" w:eastAsia="zh-CN" w:bidi="ar-SA"/>
        </w:rPr>
        <w:t>2022年，县财政共安排环保专项经费</w:t>
      </w:r>
      <w:r>
        <w:rPr>
          <w:rFonts w:hint="eastAsia" w:ascii="仿宋" w:hAnsi="仿宋" w:eastAsia="仿宋" w:cs="宋体"/>
          <w:color w:val="000000"/>
          <w:kern w:val="0"/>
          <w:sz w:val="30"/>
          <w:szCs w:val="30"/>
          <w:lang w:val="en-US" w:eastAsia="zh-CN"/>
        </w:rPr>
        <w:t>1224.6</w:t>
      </w:r>
      <w:r>
        <w:rPr>
          <w:rFonts w:hint="eastAsia" w:ascii="仿宋" w:hAnsi="仿宋" w:eastAsia="仿宋" w:cs="宋体"/>
          <w:color w:val="000000"/>
          <w:kern w:val="0"/>
          <w:sz w:val="30"/>
          <w:szCs w:val="30"/>
        </w:rPr>
        <w:t>万元，</w:t>
      </w:r>
      <w:r>
        <w:rPr>
          <w:rFonts w:hint="eastAsia" w:ascii="仿宋" w:hAnsi="仿宋" w:eastAsia="仿宋" w:cs="宋体"/>
          <w:color w:val="000000"/>
          <w:kern w:val="0"/>
          <w:sz w:val="30"/>
          <w:szCs w:val="30"/>
          <w:lang w:eastAsia="zh-CN"/>
        </w:rPr>
        <w:t>支出</w:t>
      </w:r>
      <w:r>
        <w:rPr>
          <w:rFonts w:hint="eastAsia" w:ascii="仿宋_GB2312" w:hAnsi="仿宋" w:eastAsia="仿宋_GB2312"/>
          <w:sz w:val="28"/>
          <w:szCs w:val="28"/>
          <w:lang w:val="en-US" w:eastAsia="zh-CN"/>
        </w:rPr>
        <w:t>1224.6</w:t>
      </w:r>
      <w:r>
        <w:rPr>
          <w:rFonts w:hint="eastAsia" w:ascii="仿宋" w:hAnsi="仿宋" w:eastAsia="仿宋" w:cs="宋体"/>
          <w:color w:val="000000"/>
          <w:kern w:val="0"/>
          <w:sz w:val="30"/>
          <w:szCs w:val="30"/>
        </w:rPr>
        <w:t>万元</w:t>
      </w:r>
      <w:r>
        <w:rPr>
          <w:rFonts w:hint="eastAsia" w:ascii="仿宋" w:hAnsi="仿宋" w:eastAsia="仿宋" w:cs="宋体"/>
          <w:color w:val="000000"/>
          <w:kern w:val="0"/>
          <w:sz w:val="30"/>
          <w:szCs w:val="30"/>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20" w:lineRule="exact"/>
        <w:ind w:left="0" w:leftChars="0" w:right="0" w:firstLine="602" w:firstLineChars="200"/>
        <w:jc w:val="both"/>
        <w:outlineLvl w:val="9"/>
        <w:rPr>
          <w:rFonts w:hint="eastAsia" w:ascii="仿宋" w:hAnsi="仿宋" w:eastAsia="仿宋" w:cs="宋体"/>
          <w:color w:val="000000"/>
          <w:kern w:val="0"/>
          <w:sz w:val="30"/>
          <w:szCs w:val="30"/>
          <w:lang w:val="en-US" w:eastAsia="zh-CN" w:bidi="ar-SA"/>
        </w:rPr>
      </w:pPr>
      <w:r>
        <w:rPr>
          <w:rFonts w:hint="eastAsia" w:ascii="仿宋" w:hAnsi="仿宋" w:eastAsia="仿宋" w:cs="宋体"/>
          <w:b/>
          <w:bCs/>
          <w:color w:val="000000"/>
          <w:kern w:val="0"/>
          <w:sz w:val="30"/>
          <w:szCs w:val="30"/>
          <w:lang w:val="en-US" w:eastAsia="zh-CN" w:bidi="ar-SA"/>
        </w:rPr>
        <w:t>2、专项管理情况分析。</w:t>
      </w:r>
      <w:r>
        <w:rPr>
          <w:rFonts w:hint="eastAsia" w:ascii="仿宋" w:hAnsi="仿宋" w:eastAsia="仿宋" w:cs="宋体"/>
          <w:color w:val="000000"/>
          <w:kern w:val="0"/>
          <w:sz w:val="30"/>
          <w:szCs w:val="30"/>
          <w:lang w:val="en-US" w:eastAsia="zh-CN" w:bidi="ar-SA"/>
        </w:rPr>
        <w:t>遵循“先预算、再审批、后支出”原则，所有资金安排均通过了“资金申报、项目评估、党组审定、财政会审、领导批示、财政下拨”程序，为行政运行畅通和环境质量改善提供了经济基础。</w:t>
      </w:r>
    </w:p>
    <w:p>
      <w:pPr>
        <w:keepNext w:val="0"/>
        <w:keepLines w:val="0"/>
        <w:pageBreakBefore w:val="0"/>
        <w:kinsoku/>
        <w:wordWrap/>
        <w:overflowPunct/>
        <w:topLinePunct w:val="0"/>
        <w:autoSpaceDE/>
        <w:autoSpaceDN/>
        <w:bidi w:val="0"/>
        <w:spacing w:line="620" w:lineRule="exact"/>
        <w:ind w:firstLine="602" w:firstLineChars="200"/>
        <w:outlineLvl w:val="9"/>
        <w:rPr>
          <w:rFonts w:hint="eastAsia" w:ascii="仿宋" w:hAnsi="仿宋" w:eastAsia="仿宋" w:cs="仿宋"/>
          <w:b/>
          <w:bCs w:val="0"/>
          <w:color w:val="000000"/>
          <w:kern w:val="0"/>
          <w:sz w:val="30"/>
          <w:szCs w:val="30"/>
        </w:rPr>
      </w:pPr>
      <w:r>
        <w:rPr>
          <w:rFonts w:hint="eastAsia" w:ascii="仿宋" w:hAnsi="仿宋" w:eastAsia="仿宋" w:cs="仿宋"/>
          <w:b/>
          <w:bCs w:val="0"/>
          <w:sz w:val="30"/>
          <w:szCs w:val="30"/>
          <w:lang w:eastAsia="zh-CN"/>
        </w:rPr>
        <w:t>四、</w:t>
      </w:r>
      <w:r>
        <w:rPr>
          <w:rFonts w:hint="eastAsia" w:ascii="仿宋" w:hAnsi="仿宋" w:eastAsia="仿宋" w:cs="仿宋"/>
          <w:b/>
          <w:bCs w:val="0"/>
          <w:sz w:val="30"/>
          <w:szCs w:val="30"/>
        </w:rPr>
        <w:t>单位整体支出绩效情况</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eastAsia="仿宋_GB2312"/>
          <w:kern w:val="0"/>
          <w:sz w:val="32"/>
          <w:szCs w:val="32"/>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w:t>
      </w:r>
      <w:r>
        <w:rPr>
          <w:rFonts w:hint="eastAsia" w:ascii="仿宋" w:hAnsi="仿宋" w:eastAsia="仿宋"/>
          <w:sz w:val="32"/>
          <w:szCs w:val="32"/>
          <w:lang w:eastAsia="zh-CN"/>
        </w:rPr>
        <w:t>靖州分</w:t>
      </w:r>
      <w:r>
        <w:rPr>
          <w:rFonts w:hint="eastAsia" w:ascii="仿宋" w:hAnsi="仿宋" w:eastAsia="仿宋"/>
          <w:sz w:val="32"/>
          <w:szCs w:val="32"/>
        </w:rPr>
        <w:t>局</w:t>
      </w:r>
      <w:r>
        <w:rPr>
          <w:rFonts w:hint="eastAsia" w:ascii="仿宋" w:hAnsi="仿宋" w:eastAsia="仿宋"/>
          <w:sz w:val="32"/>
          <w:szCs w:val="32"/>
          <w:lang w:eastAsia="zh-CN"/>
        </w:rPr>
        <w:t>在市生态环境局和靖州县委、县政府的领导下，切实抓好队伍建设和党风廉政建设，</w:t>
      </w:r>
      <w:r>
        <w:rPr>
          <w:rFonts w:hint="eastAsia" w:ascii="仿宋" w:hAnsi="仿宋" w:eastAsia="仿宋"/>
          <w:sz w:val="32"/>
          <w:szCs w:val="32"/>
        </w:rPr>
        <w:t>完善生态环境保护体制机制，</w:t>
      </w:r>
      <w:r>
        <w:rPr>
          <w:rFonts w:hint="eastAsia" w:ascii="仿宋_GB2312" w:eastAsia="仿宋_GB2312"/>
          <w:kern w:val="0"/>
          <w:sz w:val="32"/>
          <w:szCs w:val="32"/>
        </w:rPr>
        <w:t>严格管理，主动服务，依法治污，保障</w:t>
      </w:r>
      <w:r>
        <w:rPr>
          <w:rFonts w:hint="eastAsia" w:ascii="仿宋_GB2312" w:eastAsia="仿宋_GB2312"/>
          <w:kern w:val="0"/>
          <w:sz w:val="32"/>
          <w:szCs w:val="32"/>
          <w:lang w:eastAsia="zh-CN"/>
        </w:rPr>
        <w:t>了</w:t>
      </w:r>
      <w:r>
        <w:rPr>
          <w:rFonts w:hint="eastAsia" w:ascii="仿宋_GB2312" w:eastAsia="仿宋_GB2312"/>
          <w:kern w:val="0"/>
          <w:sz w:val="32"/>
          <w:szCs w:val="32"/>
          <w:lang w:val="en-US" w:eastAsia="zh-CN"/>
        </w:rPr>
        <w:t>2022年</w:t>
      </w:r>
      <w:r>
        <w:rPr>
          <w:rFonts w:hint="eastAsia" w:ascii="仿宋_GB2312" w:eastAsia="仿宋_GB2312"/>
          <w:kern w:val="0"/>
          <w:sz w:val="32"/>
          <w:szCs w:val="32"/>
        </w:rPr>
        <w:t>环保各项工作</w:t>
      </w:r>
      <w:r>
        <w:rPr>
          <w:rFonts w:hint="eastAsia" w:ascii="仿宋_GB2312" w:eastAsia="仿宋_GB2312"/>
          <w:kern w:val="0"/>
          <w:sz w:val="32"/>
          <w:szCs w:val="32"/>
          <w:lang w:eastAsia="zh-CN"/>
        </w:rPr>
        <w:t>任务圆满完成</w:t>
      </w:r>
      <w:r>
        <w:rPr>
          <w:rFonts w:hint="eastAsia" w:ascii="仿宋_GB2312" w:eastAsia="仿宋_GB2312"/>
          <w:kern w:val="0"/>
          <w:sz w:val="32"/>
          <w:szCs w:val="32"/>
        </w:rPr>
        <w:t>，环境质量继续保持在较好水平。</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一、20</w:t>
      </w:r>
      <w:r>
        <w:rPr>
          <w:rFonts w:hint="eastAsia" w:ascii="黑体" w:hAnsi="黑体" w:eastAsia="黑体" w:cs="黑体"/>
          <w:color w:val="000000"/>
          <w:sz w:val="32"/>
          <w:szCs w:val="32"/>
          <w:lang w:val="en-US" w:eastAsia="zh-CN"/>
        </w:rPr>
        <w:t>22</w:t>
      </w:r>
      <w:r>
        <w:rPr>
          <w:rFonts w:hint="eastAsia" w:ascii="黑体" w:hAnsi="黑体" w:eastAsia="黑体" w:cs="黑体"/>
          <w:color w:val="000000"/>
          <w:sz w:val="32"/>
          <w:szCs w:val="32"/>
        </w:rPr>
        <w:t>年全县环境状况</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22</w:t>
      </w:r>
      <w:r>
        <w:rPr>
          <w:rFonts w:hint="eastAsia" w:ascii="仿宋" w:hAnsi="仿宋" w:eastAsia="仿宋" w:cs="仿宋"/>
          <w:sz w:val="32"/>
          <w:szCs w:val="32"/>
          <w:lang w:eastAsia="zh-CN"/>
        </w:rPr>
        <w:t>年，全县环境质量总体保持稳定，未发生较大及以上的环境突发事件，各项环境质量指标较好，具体为：</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 w:hAnsi="仿宋" w:eastAsia="仿宋" w:cs="仿宋"/>
          <w:sz w:val="32"/>
          <w:szCs w:val="32"/>
          <w:lang w:eastAsia="zh-CN"/>
        </w:rPr>
      </w:pPr>
      <w:r>
        <w:rPr>
          <w:rFonts w:hint="eastAsia" w:ascii="楷体" w:hAnsi="楷体" w:eastAsia="楷体" w:cs="楷体"/>
          <w:b/>
          <w:bCs/>
          <w:color w:val="auto"/>
          <w:kern w:val="0"/>
          <w:sz w:val="32"/>
          <w:szCs w:val="32"/>
          <w:lang w:eastAsia="zh-CN"/>
        </w:rPr>
        <w:t>（一）水环境质量。</w:t>
      </w:r>
      <w:r>
        <w:rPr>
          <w:rFonts w:hint="eastAsia" w:ascii="仿宋" w:hAnsi="仿宋" w:eastAsia="仿宋" w:cs="仿宋"/>
          <w:sz w:val="32"/>
          <w:szCs w:val="32"/>
          <w:lang w:eastAsia="zh-CN"/>
        </w:rPr>
        <w:t>截止20</w:t>
      </w:r>
      <w:r>
        <w:rPr>
          <w:rFonts w:hint="eastAsia" w:ascii="仿宋" w:hAnsi="仿宋" w:eastAsia="仿宋" w:cs="仿宋"/>
          <w:sz w:val="32"/>
          <w:szCs w:val="32"/>
          <w:lang w:val="en-US" w:eastAsia="zh-CN"/>
        </w:rPr>
        <w:t>22</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11月</w:t>
      </w:r>
      <w:r>
        <w:rPr>
          <w:rFonts w:hint="eastAsia" w:ascii="仿宋" w:hAnsi="仿宋" w:eastAsia="仿宋" w:cs="仿宋"/>
          <w:sz w:val="32"/>
          <w:szCs w:val="32"/>
          <w:lang w:eastAsia="zh-CN"/>
        </w:rPr>
        <w:t>,我县共完成地表水监测</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期，地表水监测断面分别是流坪断面、桐油岭断面和连山桥头溪口断面，三个断面按GB3838-2002Ⅲ级标准评价，所有检测指标均达标，水质良好；饮用水源监测为县自来水厂取水口断面，采取每月采样，所有检测项目按GB3838-2002Ⅱ级标准评价，检测项目均达标，饮用水质达标率为100%，水环境质量良好。</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 w:hAnsi="仿宋" w:eastAsia="仿宋" w:cs="仿宋"/>
          <w:sz w:val="32"/>
          <w:szCs w:val="32"/>
          <w:lang w:eastAsia="zh-CN"/>
        </w:rPr>
      </w:pPr>
      <w:r>
        <w:rPr>
          <w:rFonts w:hint="eastAsia" w:ascii="楷体" w:hAnsi="楷体" w:eastAsia="楷体" w:cs="楷体"/>
          <w:b/>
          <w:bCs/>
          <w:color w:val="auto"/>
          <w:kern w:val="0"/>
          <w:sz w:val="32"/>
          <w:szCs w:val="32"/>
          <w:lang w:eastAsia="zh-CN"/>
        </w:rPr>
        <w:t>（二）空气环境质量。</w:t>
      </w:r>
      <w:r>
        <w:rPr>
          <w:rFonts w:hint="eastAsia" w:ascii="仿宋" w:hAnsi="仿宋" w:eastAsia="仿宋" w:cs="仿宋"/>
          <w:sz w:val="32"/>
          <w:szCs w:val="32"/>
          <w:lang w:eastAsia="zh-CN"/>
        </w:rPr>
        <w:t>根据我县县城空气自动监测站2022年1-10月数据来看，我县空气质量指数为2.74，无重污染天气，优良天数295天，同比去年减少4天，空气质量良率为97.0%，同比去年下降1.4%，PM2.5平均值为25微克每立方米，同比去年持平，PM10平均值为40微克每立方米，同比去年下降7.0%。2022年1-10月，我县空气质量指数全省排名31名，总体空气环境质量良好，持续达到环境空气质量二级城市标准。</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 w:hAnsi="仿宋" w:eastAsia="仿宋" w:cs="仿宋"/>
          <w:sz w:val="32"/>
          <w:szCs w:val="32"/>
          <w:lang w:eastAsia="zh-CN"/>
        </w:rPr>
      </w:pPr>
      <w:r>
        <w:rPr>
          <w:rFonts w:hint="eastAsia" w:ascii="楷体" w:hAnsi="楷体" w:eastAsia="楷体" w:cs="楷体"/>
          <w:b/>
          <w:bCs/>
          <w:color w:val="auto"/>
          <w:kern w:val="0"/>
          <w:sz w:val="32"/>
          <w:szCs w:val="32"/>
          <w:lang w:eastAsia="zh-CN"/>
        </w:rPr>
        <w:t>（三）土壤及辐射环境质量</w:t>
      </w:r>
      <w:r>
        <w:rPr>
          <w:rFonts w:hint="eastAsia" w:ascii="仿宋" w:hAnsi="仿宋" w:eastAsia="仿宋" w:cs="仿宋"/>
          <w:b/>
          <w:bCs/>
          <w:color w:val="auto"/>
          <w:kern w:val="0"/>
          <w:sz w:val="32"/>
          <w:szCs w:val="32"/>
          <w:lang w:eastAsia="zh-CN"/>
        </w:rPr>
        <w:t>。</w:t>
      </w:r>
      <w:r>
        <w:rPr>
          <w:rFonts w:hint="eastAsia" w:ascii="仿宋" w:hAnsi="仿宋" w:eastAsia="仿宋" w:cs="仿宋"/>
          <w:sz w:val="32"/>
          <w:szCs w:val="32"/>
          <w:lang w:eastAsia="zh-CN"/>
        </w:rPr>
        <w:t>目前，我县土壤环境质量总体稳定，无大的土壤污染地块，辐射环境质量总体稳定，安全可控。</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0" w:firstLineChars="200"/>
        <w:jc w:val="both"/>
        <w:textAlignment w:val="auto"/>
        <w:rPr>
          <w:rFonts w:ascii="Times New Roman" w:hAnsi="Times New Roman" w:eastAsia="黑体"/>
          <w:color w:val="000000"/>
          <w:sz w:val="32"/>
          <w:szCs w:val="32"/>
        </w:rPr>
      </w:pPr>
      <w:r>
        <w:rPr>
          <w:rFonts w:ascii="Times New Roman" w:hAnsi="Times New Roman" w:eastAsia="黑体"/>
          <w:color w:val="000000"/>
          <w:sz w:val="32"/>
          <w:szCs w:val="32"/>
        </w:rPr>
        <w:t>二</w:t>
      </w:r>
      <w:r>
        <w:rPr>
          <w:rFonts w:hint="eastAsia" w:eastAsia="黑体"/>
          <w:color w:val="000000"/>
          <w:sz w:val="32"/>
          <w:szCs w:val="32"/>
          <w:lang w:eastAsia="zh-CN"/>
        </w:rPr>
        <w:t>、</w:t>
      </w:r>
      <w:r>
        <w:rPr>
          <w:rFonts w:hint="eastAsia" w:ascii="Times New Roman" w:hAnsi="Times New Roman" w:eastAsia="黑体"/>
          <w:color w:val="000000"/>
          <w:sz w:val="32"/>
          <w:szCs w:val="32"/>
          <w:lang w:val="en-US" w:eastAsia="zh-CN"/>
        </w:rPr>
        <w:t>2022年</w:t>
      </w:r>
      <w:r>
        <w:rPr>
          <w:rFonts w:ascii="Times New Roman" w:hAnsi="Times New Roman" w:eastAsia="黑体"/>
          <w:color w:val="000000"/>
          <w:sz w:val="32"/>
          <w:szCs w:val="32"/>
        </w:rPr>
        <w:t>环境保护目标</w:t>
      </w:r>
      <w:r>
        <w:rPr>
          <w:rFonts w:hint="eastAsia" w:eastAsia="黑体"/>
          <w:color w:val="000000"/>
          <w:sz w:val="32"/>
          <w:szCs w:val="32"/>
          <w:lang w:eastAsia="zh-CN"/>
        </w:rPr>
        <w:t>和工作</w:t>
      </w:r>
      <w:r>
        <w:rPr>
          <w:rFonts w:ascii="Times New Roman" w:hAnsi="Times New Roman" w:eastAsia="黑体"/>
          <w:color w:val="000000"/>
          <w:sz w:val="32"/>
          <w:szCs w:val="32"/>
        </w:rPr>
        <w:t>任务完成情况</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 w:hAnsi="仿宋" w:eastAsia="仿宋" w:cs="仿宋"/>
          <w:sz w:val="32"/>
          <w:szCs w:val="32"/>
          <w:lang w:eastAsia="zh-CN"/>
        </w:rPr>
      </w:pPr>
      <w:r>
        <w:rPr>
          <w:rFonts w:hint="eastAsia" w:ascii="楷体" w:hAnsi="楷体" w:eastAsia="楷体" w:cs="楷体"/>
          <w:b/>
          <w:bCs/>
          <w:color w:val="auto"/>
          <w:sz w:val="32"/>
          <w:szCs w:val="32"/>
          <w:lang w:eastAsia="zh-CN"/>
        </w:rPr>
        <w:t>（一）切实抓</w:t>
      </w:r>
      <w:r>
        <w:rPr>
          <w:rFonts w:hint="eastAsia" w:ascii="楷体" w:hAnsi="楷体" w:eastAsia="楷体" w:cs="楷体"/>
          <w:b/>
          <w:bCs/>
          <w:color w:val="auto"/>
          <w:kern w:val="2"/>
          <w:sz w:val="32"/>
          <w:szCs w:val="32"/>
          <w:lang w:val="en-US" w:eastAsia="zh-CN" w:bidi="ar-SA"/>
        </w:rPr>
        <w:t>好环保队伍纪律作风。</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年，靖州分局以习近平新时代中国特色社会主义思想为指导，深入贯彻落实习总书记生态文明思想，认真组织政治理论学习，扎实开展“三整顿两提升”作风建设活动，抓实政治建设，抓牢组织建设，抓严作风建设，强化业务学习，夯实党建基础，筑牢纪律防线</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截至目前，分局组织理论学习中心组学习</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次，开展支部主题党日</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次，为生态环境事业的健康发展提供坚实的思想政治保证。</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color w:val="auto"/>
          <w:sz w:val="32"/>
          <w:szCs w:val="32"/>
          <w:lang w:eastAsia="zh-CN"/>
        </w:rPr>
        <w:t>（二）认真落实意识形态工作责任。</w:t>
      </w:r>
      <w:r>
        <w:rPr>
          <w:rFonts w:hint="eastAsia" w:ascii="仿宋" w:hAnsi="仿宋" w:eastAsia="仿宋" w:cs="仿宋"/>
          <w:sz w:val="32"/>
          <w:szCs w:val="32"/>
          <w:lang w:val="en-US" w:eastAsia="zh-CN"/>
        </w:rPr>
        <w:t>成立意识形态和网络安全工作领导小组，结合单位工作实际专题研究安排部署意识形态工作，定期分析研判意识形态领域工作形势。统筹全县各单位组织开展“6.5”世界环境日宣传活动，强化正面引导，积极推动习近平生态文明思想、“绿水青山就是金山银山”理念向社会延伸覆盖，共建清洁美丽靖州。及时处理处置涉环信访投诉，认真回复群众反映强烈的涉环突出问题，设立信访接访中心，指定专人受理12369、电话、微信、网舆的环境信访投诉，严格落实《信访工作人员职责》《信访工作规定》等相关制度。</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color w:val="000000"/>
          <w:sz w:val="32"/>
          <w:szCs w:val="32"/>
          <w:lang w:val="en-US" w:eastAsia="zh-CN"/>
        </w:rPr>
        <w:t>（三）深入打好污染防治攻坚战</w:t>
      </w:r>
      <w:r>
        <w:rPr>
          <w:rFonts w:hint="eastAsia" w:ascii="楷体" w:hAnsi="楷体" w:eastAsia="楷体" w:cs="楷体"/>
          <w:b/>
          <w:bCs/>
          <w:color w:val="000000"/>
          <w:sz w:val="32"/>
          <w:szCs w:val="32"/>
          <w:lang w:eastAsia="zh-CN"/>
        </w:rPr>
        <w:t>。</w:t>
      </w:r>
      <w:r>
        <w:rPr>
          <w:rFonts w:hint="eastAsia" w:ascii="仿宋" w:hAnsi="仿宋" w:eastAsia="仿宋" w:cs="仿宋"/>
          <w:sz w:val="32"/>
          <w:szCs w:val="32"/>
          <w:lang w:val="en-US" w:eastAsia="zh-CN"/>
        </w:rPr>
        <w:t xml:space="preserve"> 2022年，为了深入打好污染防治攻坚战，目前，我县召开了5次生态环境保护委员会会议，研究生态环境保护和污染防治工作，对2022年污染防治攻坚战、夏季攻势任务、农村环境整治等环境问题进行了统一部署和落实，制定了《靖州县2022年污染防治攻坚战工作方案》和《2022年污染防治攻坚战“夏季攻势”任务清单和考核细则》，紧紧围绕今年的工作任务，严抓落实，各项污染防治工作扎实推进，目前各项工作有序推进。</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color w:val="auto"/>
          <w:kern w:val="0"/>
          <w:sz w:val="32"/>
          <w:szCs w:val="32"/>
          <w:lang w:val="en-US" w:eastAsia="zh-CN"/>
        </w:rPr>
        <w:t>1.</w:t>
      </w:r>
      <w:r>
        <w:rPr>
          <w:rFonts w:hint="eastAsia" w:ascii="仿宋" w:hAnsi="仿宋" w:eastAsia="仿宋" w:cs="仿宋"/>
          <w:b/>
          <w:bCs/>
          <w:color w:val="auto"/>
          <w:kern w:val="0"/>
          <w:sz w:val="32"/>
          <w:szCs w:val="32"/>
          <w:lang w:eastAsia="zh-CN"/>
        </w:rPr>
        <w:t>大气污染防治：</w:t>
      </w:r>
      <w:r>
        <w:rPr>
          <w:rFonts w:hint="eastAsia" w:ascii="仿宋" w:hAnsi="仿宋" w:eastAsia="仿宋" w:cs="仿宋"/>
          <w:b/>
          <w:bCs/>
          <w:sz w:val="32"/>
          <w:szCs w:val="32"/>
          <w:lang w:val="en-US" w:eastAsia="zh-CN"/>
        </w:rPr>
        <w:t>一是持续巩固城市环境空气质量达标创建。</w:t>
      </w:r>
      <w:r>
        <w:rPr>
          <w:rFonts w:hint="eastAsia" w:ascii="仿宋" w:hAnsi="仿宋" w:eastAsia="仿宋" w:cs="仿宋"/>
          <w:sz w:val="32"/>
          <w:szCs w:val="32"/>
          <w:lang w:val="en-US" w:eastAsia="zh-CN"/>
        </w:rPr>
        <w:t>制定了《2022年靖州苗族侗族自治县创建环境空气质量二级标准达标城市工作方案》，围绕该项工作，各部门扎实推进空气质量二级达标城市创建工作，持续提升城市环境质量。</w:t>
      </w:r>
      <w:r>
        <w:rPr>
          <w:rFonts w:hint="eastAsia" w:ascii="仿宋" w:hAnsi="仿宋" w:eastAsia="仿宋" w:cs="仿宋"/>
          <w:b/>
          <w:bCs/>
          <w:sz w:val="32"/>
          <w:szCs w:val="32"/>
          <w:lang w:val="en-US" w:eastAsia="zh-CN"/>
        </w:rPr>
        <w:t>二是持续推进全县非道路移动机械排放监测和登记上牌。</w:t>
      </w:r>
      <w:r>
        <w:rPr>
          <w:rFonts w:hint="eastAsia" w:ascii="仿宋" w:hAnsi="仿宋" w:eastAsia="仿宋" w:cs="仿宋"/>
          <w:sz w:val="32"/>
          <w:szCs w:val="32"/>
          <w:lang w:val="en-US" w:eastAsia="zh-CN"/>
        </w:rPr>
        <w:t>落实湖南省生态环境厅关于湖南省非道路移动机械摸底调查和编码登记工作的要求，加快推进我县非道路移动机械检测上牌工作，截至目前，共上牌152台。有效实施了对非道路移动机械排放控制区管控、减少尾气污染物排放。</w:t>
      </w:r>
      <w:r>
        <w:rPr>
          <w:rFonts w:hint="eastAsia" w:ascii="仿宋" w:hAnsi="仿宋" w:eastAsia="仿宋" w:cs="仿宋"/>
          <w:b/>
          <w:bCs/>
          <w:sz w:val="32"/>
          <w:szCs w:val="32"/>
          <w:lang w:val="en-US" w:eastAsia="zh-CN"/>
        </w:rPr>
        <w:t>三是持续强化对空气扬尘污染的管控。</w:t>
      </w:r>
      <w:r>
        <w:rPr>
          <w:rFonts w:hint="eastAsia" w:ascii="仿宋" w:hAnsi="仿宋" w:eastAsia="仿宋" w:cs="仿宋"/>
          <w:sz w:val="32"/>
          <w:szCs w:val="32"/>
          <w:lang w:val="en-US" w:eastAsia="zh-CN"/>
        </w:rPr>
        <w:t>加大对建筑施工工地的检查与突击督查，加强工地出入口渣土运输管理，严抓落实扬尘污染防治措施，开展对道路渣土运输和道路扬尘综合整治，查处违规运输行为，督促责任单位严格道路清扫和洒水降尘。</w:t>
      </w:r>
      <w:r>
        <w:rPr>
          <w:rFonts w:hint="eastAsia" w:ascii="仿宋" w:hAnsi="仿宋" w:eastAsia="仿宋" w:cs="仿宋"/>
          <w:b/>
          <w:bCs/>
          <w:sz w:val="32"/>
          <w:szCs w:val="32"/>
          <w:lang w:val="en-US" w:eastAsia="zh-CN"/>
        </w:rPr>
        <w:t>四是持续开展工业企业大气污染治理。</w:t>
      </w:r>
      <w:r>
        <w:rPr>
          <w:rFonts w:hint="eastAsia" w:ascii="仿宋" w:hAnsi="仿宋" w:eastAsia="仿宋" w:cs="仿宋"/>
          <w:sz w:val="32"/>
          <w:szCs w:val="32"/>
          <w:lang w:val="en-US" w:eastAsia="zh-CN"/>
        </w:rPr>
        <w:t>完成靖州县新光耐火材料公司“工业窑炉升级治理”工程，完成了对靖州县华荣活性炭和靖州台泥水泥两家企业废气治理提质改造。</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color w:val="auto"/>
          <w:kern w:val="0"/>
          <w:sz w:val="32"/>
          <w:szCs w:val="32"/>
          <w:lang w:eastAsia="zh-CN"/>
        </w:rPr>
        <w:t>2.土壤污染防治：</w:t>
      </w:r>
      <w:r>
        <w:rPr>
          <w:rFonts w:hint="eastAsia" w:ascii="仿宋" w:hAnsi="仿宋" w:eastAsia="仿宋" w:cs="仿宋"/>
          <w:b/>
          <w:bCs/>
          <w:sz w:val="32"/>
          <w:szCs w:val="32"/>
          <w:lang w:val="en-US" w:eastAsia="zh-CN"/>
        </w:rPr>
        <w:t>一是开展废弃矿山和尾矿库隐患排查。</w:t>
      </w:r>
      <w:r>
        <w:rPr>
          <w:rFonts w:hint="eastAsia" w:ascii="仿宋" w:hAnsi="仿宋" w:eastAsia="仿宋" w:cs="仿宋"/>
          <w:sz w:val="32"/>
          <w:szCs w:val="32"/>
          <w:lang w:val="en-US" w:eastAsia="zh-CN"/>
        </w:rPr>
        <w:t>对全县废弃矿山和尾矿库开展现场踏勘排查，完成尾矿库环境风险隐患排查工作，保障汛期尾矿库安全。</w:t>
      </w:r>
      <w:r>
        <w:rPr>
          <w:rFonts w:hint="eastAsia" w:ascii="仿宋" w:hAnsi="仿宋" w:eastAsia="仿宋" w:cs="仿宋"/>
          <w:b/>
          <w:bCs/>
          <w:sz w:val="32"/>
          <w:szCs w:val="32"/>
          <w:lang w:val="en-US" w:eastAsia="zh-CN"/>
        </w:rPr>
        <w:t>二是开展危固废和核辐射检查工作。</w:t>
      </w:r>
      <w:r>
        <w:rPr>
          <w:rFonts w:hint="eastAsia" w:ascii="仿宋" w:hAnsi="仿宋" w:eastAsia="仿宋" w:cs="仿宋"/>
          <w:sz w:val="32"/>
          <w:szCs w:val="32"/>
          <w:lang w:val="en-US" w:eastAsia="zh-CN"/>
        </w:rPr>
        <w:t>开展医疗单位危险废物贮存、运输、处置等日常检查，开展汽修行业和工业企业固体废物的隐患排查，开展全县射线装置辐射安全检查。</w:t>
      </w:r>
      <w:r>
        <w:rPr>
          <w:rFonts w:hint="eastAsia" w:ascii="仿宋" w:hAnsi="仿宋" w:eastAsia="仿宋" w:cs="仿宋"/>
          <w:b/>
          <w:bCs/>
          <w:sz w:val="32"/>
          <w:szCs w:val="32"/>
          <w:lang w:val="en-US" w:eastAsia="zh-CN"/>
        </w:rPr>
        <w:t>三是持续开展土壤污染治理。</w:t>
      </w:r>
      <w:r>
        <w:rPr>
          <w:rFonts w:hint="eastAsia" w:ascii="仿宋" w:hAnsi="仿宋" w:eastAsia="仿宋" w:cs="仿宋"/>
          <w:sz w:val="32"/>
          <w:szCs w:val="32"/>
          <w:lang w:val="en-US" w:eastAsia="zh-CN"/>
        </w:rPr>
        <w:t>持续开展金鸡岩裸露矿区和废渣污染风险管控项目后续工作，持续对春阳煤矸石遗留污染问题治理项目的后续监管监测。</w:t>
      </w:r>
      <w:r>
        <w:rPr>
          <w:rFonts w:hint="eastAsia" w:ascii="仿宋" w:hAnsi="仿宋" w:eastAsia="仿宋" w:cs="仿宋"/>
          <w:b/>
          <w:bCs/>
          <w:sz w:val="32"/>
          <w:szCs w:val="32"/>
          <w:lang w:val="en-US" w:eastAsia="zh-CN"/>
        </w:rPr>
        <w:t>四是开展重点建设用地安全利用情况。</w:t>
      </w:r>
      <w:r>
        <w:rPr>
          <w:rFonts w:hint="eastAsia" w:ascii="仿宋" w:hAnsi="仿宋" w:eastAsia="仿宋" w:cs="仿宋"/>
          <w:sz w:val="32"/>
          <w:szCs w:val="32"/>
          <w:lang w:val="en-US" w:eastAsia="zh-CN"/>
        </w:rPr>
        <w:t>落实省厅关于补充上报重点地块环境调查的文件要求，组织开展“一住两公”地块环境调查，完成补充上报了2021年重点建设用地安全利用情况，并与自然资源局建立联席机制，共同将“一住两公”地块环境调查纳入日常工作予以落实。</w:t>
      </w:r>
      <w:r>
        <w:rPr>
          <w:rFonts w:hint="eastAsia" w:ascii="仿宋" w:hAnsi="仿宋" w:eastAsia="仿宋" w:cs="仿宋"/>
          <w:b/>
          <w:bCs/>
          <w:sz w:val="32"/>
          <w:szCs w:val="32"/>
          <w:lang w:val="en-US" w:eastAsia="zh-CN"/>
        </w:rPr>
        <w:t>五是开展农村面源污染防治。</w:t>
      </w:r>
      <w:r>
        <w:rPr>
          <w:rFonts w:hint="eastAsia" w:ascii="仿宋" w:hAnsi="仿宋" w:eastAsia="仿宋" w:cs="仿宋"/>
          <w:sz w:val="32"/>
          <w:szCs w:val="32"/>
          <w:lang w:val="en-US" w:eastAsia="zh-CN"/>
        </w:rPr>
        <w:t>启动了全县畜禽养殖污染防治规划编制。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color w:val="auto"/>
          <w:kern w:val="0"/>
          <w:sz w:val="32"/>
          <w:szCs w:val="32"/>
          <w:lang w:val="en-US" w:eastAsia="zh-CN"/>
        </w:rPr>
        <w:t>3.水环境污染防治：</w:t>
      </w:r>
      <w:r>
        <w:rPr>
          <w:rFonts w:hint="eastAsia" w:ascii="仿宋" w:hAnsi="仿宋" w:eastAsia="仿宋" w:cs="仿宋"/>
          <w:b/>
          <w:bCs/>
          <w:sz w:val="32"/>
          <w:szCs w:val="32"/>
          <w:lang w:val="en-US" w:eastAsia="zh-CN"/>
        </w:rPr>
        <w:t>一是开展村级千人以上饮用水水源地整治。</w:t>
      </w:r>
      <w:r>
        <w:rPr>
          <w:rFonts w:hint="eastAsia" w:ascii="仿宋" w:hAnsi="仿宋" w:eastAsia="仿宋" w:cs="仿宋"/>
          <w:sz w:val="32"/>
          <w:szCs w:val="32"/>
          <w:lang w:val="en-US" w:eastAsia="zh-CN"/>
        </w:rPr>
        <w:t>截止目前，完成了村级饮用水源地的标识标牌设置安装工作，在一级保护区、二级保护区设置了宣传牌、标识标牌、交通警示牌，加大了农村饮用水水源保护区的宣传力度，提高饮用水保护的环境意识，保障农村饮用水安全。</w:t>
      </w:r>
      <w:r>
        <w:rPr>
          <w:rFonts w:hint="eastAsia" w:ascii="仿宋" w:hAnsi="仿宋" w:eastAsia="仿宋" w:cs="仿宋"/>
          <w:b/>
          <w:bCs/>
          <w:sz w:val="32"/>
          <w:szCs w:val="32"/>
          <w:lang w:val="en-US" w:eastAsia="zh-CN"/>
        </w:rPr>
        <w:t>二是加强乡镇级农村饮用水监测。</w:t>
      </w:r>
      <w:r>
        <w:rPr>
          <w:rFonts w:hint="eastAsia" w:ascii="仿宋" w:hAnsi="仿宋" w:eastAsia="仿宋" w:cs="仿宋"/>
          <w:sz w:val="32"/>
          <w:szCs w:val="32"/>
          <w:lang w:val="en-US" w:eastAsia="zh-CN"/>
        </w:rPr>
        <w:t>按照2022年监测任务的要求，对全县所有千人以上饮用水开展监测，了解每个饮用水水源地水质状况，从监测结果来看，所有农村饮用水水源地均达标，水质达标率100%，全县农村饮用水水质总体安全。</w:t>
      </w:r>
      <w:r>
        <w:rPr>
          <w:rFonts w:hint="eastAsia" w:ascii="仿宋" w:hAnsi="仿宋" w:eastAsia="仿宋" w:cs="仿宋"/>
          <w:b/>
          <w:bCs/>
          <w:sz w:val="32"/>
          <w:szCs w:val="32"/>
          <w:lang w:val="en-US" w:eastAsia="zh-CN"/>
        </w:rPr>
        <w:t>三是开展农村黑臭水体调查。</w:t>
      </w:r>
      <w:r>
        <w:rPr>
          <w:rFonts w:hint="eastAsia" w:ascii="仿宋" w:hAnsi="仿宋" w:eastAsia="仿宋" w:cs="仿宋"/>
          <w:sz w:val="32"/>
          <w:szCs w:val="32"/>
          <w:lang w:val="en-US" w:eastAsia="zh-CN"/>
        </w:rPr>
        <w:t>落实县委、政府人居环境综合整治工作，开展了农村黑臭水体调查摸底。</w:t>
      </w:r>
      <w:r>
        <w:rPr>
          <w:rFonts w:hint="eastAsia" w:ascii="仿宋" w:hAnsi="仿宋" w:eastAsia="仿宋" w:cs="仿宋"/>
          <w:b/>
          <w:bCs/>
          <w:sz w:val="32"/>
          <w:szCs w:val="32"/>
          <w:lang w:val="en-US" w:eastAsia="zh-CN"/>
        </w:rPr>
        <w:t>四是开展饮用水评估报告编制。</w:t>
      </w:r>
      <w:r>
        <w:rPr>
          <w:rFonts w:hint="eastAsia" w:ascii="仿宋" w:hAnsi="仿宋" w:eastAsia="仿宋" w:cs="仿宋"/>
          <w:sz w:val="32"/>
          <w:szCs w:val="32"/>
          <w:lang w:val="en-US" w:eastAsia="zh-CN"/>
        </w:rPr>
        <w:t>对全县饮用水源地的划分情况、应急情况、监测情况、整治情况进行了全面调查，完成了县城集中式饮用水源地的评估报告编制和千吨万人饮用水水源地评估报告编制。</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bCs/>
          <w:color w:val="auto"/>
          <w:kern w:val="0"/>
          <w:sz w:val="32"/>
          <w:szCs w:val="32"/>
          <w:lang w:val="en-US" w:eastAsia="zh-CN"/>
        </w:rPr>
        <w:t>4.完成“夏季攻势”任务。</w:t>
      </w:r>
      <w:r>
        <w:rPr>
          <w:rFonts w:hint="default" w:ascii="仿宋" w:hAnsi="仿宋" w:eastAsia="仿宋" w:cs="仿宋"/>
          <w:sz w:val="32"/>
          <w:szCs w:val="32"/>
          <w:lang w:val="en-US" w:eastAsia="zh-CN"/>
        </w:rPr>
        <w:t>根据市污染防治攻坚</w:t>
      </w:r>
      <w:r>
        <w:rPr>
          <w:rFonts w:hint="eastAsia" w:ascii="仿宋" w:hAnsi="仿宋" w:eastAsia="仿宋" w:cs="仿宋"/>
          <w:sz w:val="32"/>
          <w:szCs w:val="32"/>
          <w:lang w:val="en-US" w:eastAsia="zh-CN"/>
        </w:rPr>
        <w:t>战</w:t>
      </w:r>
      <w:r>
        <w:rPr>
          <w:rFonts w:hint="default" w:ascii="仿宋" w:hAnsi="仿宋" w:eastAsia="仿宋" w:cs="仿宋"/>
          <w:sz w:val="32"/>
          <w:szCs w:val="32"/>
          <w:lang w:val="en-US" w:eastAsia="zh-CN"/>
        </w:rPr>
        <w:t>2022</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“夏季攻势”任务清单，我县涉及到</w:t>
      </w:r>
      <w:r>
        <w:rPr>
          <w:rFonts w:hint="eastAsia" w:ascii="仿宋" w:hAnsi="仿宋" w:eastAsia="仿宋" w:cs="仿宋"/>
          <w:sz w:val="32"/>
          <w:szCs w:val="32"/>
          <w:lang w:val="en-US" w:eastAsia="zh-CN"/>
        </w:rPr>
        <w:t>6项</w:t>
      </w:r>
      <w:r>
        <w:rPr>
          <w:rFonts w:hint="default" w:ascii="仿宋" w:hAnsi="仿宋" w:eastAsia="仿宋" w:cs="仿宋"/>
          <w:sz w:val="32"/>
          <w:szCs w:val="32"/>
          <w:lang w:val="en-US" w:eastAsia="zh-CN"/>
        </w:rPr>
        <w:t>24.5个具体任务（其中共性问题6个）</w:t>
      </w:r>
      <w:r>
        <w:rPr>
          <w:rFonts w:hint="eastAsia" w:ascii="仿宋" w:hAnsi="仿宋" w:eastAsia="仿宋" w:cs="仿宋"/>
          <w:sz w:val="32"/>
          <w:szCs w:val="32"/>
          <w:lang w:val="en-US" w:eastAsia="zh-CN"/>
        </w:rPr>
        <w:t>已全面完成，完成率为100%。</w:t>
      </w:r>
      <w:r>
        <w:rPr>
          <w:rFonts w:hint="default" w:ascii="仿宋" w:hAnsi="仿宋" w:eastAsia="仿宋" w:cs="仿宋"/>
          <w:sz w:val="32"/>
          <w:szCs w:val="32"/>
          <w:lang w:val="en-US" w:eastAsia="zh-CN"/>
        </w:rPr>
        <w:t>完成中央交办突出生态环境问题年度整改销号任务6.5个（其中共性问题6个）；</w:t>
      </w:r>
      <w:r>
        <w:rPr>
          <w:rFonts w:hint="eastAsia" w:ascii="仿宋" w:hAnsi="仿宋" w:eastAsia="仿宋" w:cs="仿宋"/>
          <w:sz w:val="32"/>
          <w:szCs w:val="32"/>
          <w:lang w:val="en-US" w:eastAsia="zh-CN"/>
        </w:rPr>
        <w:t>完成</w:t>
      </w:r>
      <w:r>
        <w:rPr>
          <w:rFonts w:hint="default" w:ascii="仿宋" w:hAnsi="仿宋" w:eastAsia="仿宋" w:cs="仿宋"/>
          <w:sz w:val="32"/>
          <w:szCs w:val="32"/>
          <w:lang w:val="en-US" w:eastAsia="zh-CN"/>
        </w:rPr>
        <w:t>历史遗留矿山生态修复治理任务13个；</w:t>
      </w:r>
      <w:r>
        <w:rPr>
          <w:rFonts w:hint="eastAsia" w:ascii="仿宋" w:hAnsi="仿宋" w:eastAsia="仿宋" w:cs="仿宋"/>
          <w:sz w:val="32"/>
          <w:szCs w:val="32"/>
          <w:lang w:val="en-US" w:eastAsia="zh-CN"/>
        </w:rPr>
        <w:t>完成大堡子和坳上镇2个建制镇的</w:t>
      </w:r>
      <w:r>
        <w:rPr>
          <w:rFonts w:hint="default" w:ascii="仿宋" w:hAnsi="仿宋" w:eastAsia="仿宋" w:cs="仿宋"/>
          <w:sz w:val="32"/>
          <w:szCs w:val="32"/>
          <w:lang w:val="en-US" w:eastAsia="zh-CN"/>
        </w:rPr>
        <w:t>乡镇污水处理设施建设任务2个；</w:t>
      </w:r>
      <w:r>
        <w:rPr>
          <w:rFonts w:hint="eastAsia" w:ascii="仿宋" w:hAnsi="仿宋" w:eastAsia="仿宋" w:cs="仿宋"/>
          <w:sz w:val="32"/>
          <w:szCs w:val="32"/>
          <w:lang w:val="en-US" w:eastAsia="zh-CN"/>
        </w:rPr>
        <w:t>完成台泥</w:t>
      </w:r>
      <w:r>
        <w:rPr>
          <w:rFonts w:hint="default" w:ascii="仿宋" w:hAnsi="仿宋" w:eastAsia="仿宋" w:cs="仿宋"/>
          <w:sz w:val="32"/>
          <w:szCs w:val="32"/>
          <w:lang w:val="en-US" w:eastAsia="zh-CN"/>
        </w:rPr>
        <w:t>工业锅窑炉氮氧化物和</w:t>
      </w:r>
      <w:r>
        <w:rPr>
          <w:rFonts w:hint="eastAsia" w:ascii="仿宋" w:hAnsi="仿宋" w:eastAsia="仿宋" w:cs="仿宋"/>
          <w:sz w:val="32"/>
          <w:szCs w:val="32"/>
          <w:lang w:val="en-US" w:eastAsia="zh-CN"/>
        </w:rPr>
        <w:t>华荣活性炭</w:t>
      </w:r>
      <w:r>
        <w:rPr>
          <w:rFonts w:hint="default" w:ascii="仿宋" w:hAnsi="仿宋" w:eastAsia="仿宋" w:cs="仿宋"/>
          <w:sz w:val="32"/>
          <w:szCs w:val="32"/>
          <w:lang w:val="en-US" w:eastAsia="zh-CN"/>
        </w:rPr>
        <w:t>重点行业VOCs综合治理2个；完成</w:t>
      </w:r>
      <w:r>
        <w:rPr>
          <w:rFonts w:hint="eastAsia" w:ascii="仿宋" w:hAnsi="仿宋" w:eastAsia="仿宋" w:cs="仿宋"/>
          <w:sz w:val="32"/>
          <w:szCs w:val="32"/>
          <w:lang w:val="en-US" w:eastAsia="zh-CN"/>
        </w:rPr>
        <w:t>金鸡岩矿渣风险管控</w:t>
      </w:r>
      <w:r>
        <w:rPr>
          <w:rFonts w:hint="default" w:ascii="仿宋" w:hAnsi="仿宋" w:eastAsia="仿宋" w:cs="仿宋"/>
          <w:sz w:val="32"/>
          <w:szCs w:val="32"/>
          <w:lang w:val="en-US" w:eastAsia="zh-CN"/>
        </w:rPr>
        <w:t>土壤污染治理项目1个。</w:t>
      </w:r>
      <w:r>
        <w:rPr>
          <w:rFonts w:hint="eastAsia" w:ascii="仿宋" w:hAnsi="仿宋" w:eastAsia="仿宋" w:cs="仿宋"/>
          <w:sz w:val="32"/>
          <w:szCs w:val="32"/>
          <w:lang w:val="en-US" w:eastAsia="zh-CN"/>
        </w:rPr>
        <w:t>截至</w:t>
      </w:r>
      <w:r>
        <w:rPr>
          <w:rFonts w:hint="default" w:ascii="仿宋" w:hAnsi="仿宋" w:eastAsia="仿宋" w:cs="仿宋"/>
          <w:sz w:val="32"/>
          <w:szCs w:val="32"/>
          <w:lang w:val="en-US" w:eastAsia="zh-CN"/>
        </w:rPr>
        <w:t>目前，已全面完成整改销号。</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楷体" w:hAnsi="楷体" w:eastAsia="楷体" w:cs="楷体"/>
          <w:b/>
          <w:sz w:val="32"/>
          <w:szCs w:val="32"/>
        </w:rPr>
      </w:pPr>
      <w:r>
        <w:rPr>
          <w:rFonts w:hint="eastAsia" w:ascii="楷体" w:hAnsi="楷体" w:eastAsia="楷体" w:cs="楷体"/>
          <w:b/>
          <w:bCs/>
          <w:color w:val="000000"/>
          <w:sz w:val="32"/>
          <w:szCs w:val="32"/>
          <w:lang w:val="en-US" w:eastAsia="zh-CN"/>
        </w:rPr>
        <w:t>（四）严格落实环保</w:t>
      </w:r>
      <w:r>
        <w:rPr>
          <w:rFonts w:hint="eastAsia" w:ascii="楷体" w:hAnsi="楷体" w:eastAsia="楷体" w:cs="楷体"/>
          <w:b/>
          <w:sz w:val="32"/>
          <w:szCs w:val="32"/>
        </w:rPr>
        <w:t>督察问题整改</w:t>
      </w:r>
      <w:r>
        <w:rPr>
          <w:rFonts w:hint="eastAsia" w:ascii="楷体" w:hAnsi="楷体" w:eastAsia="楷体" w:cs="楷体"/>
          <w:b/>
          <w:sz w:val="32"/>
          <w:szCs w:val="32"/>
          <w:lang w:eastAsia="zh-CN"/>
        </w:rPr>
        <w:t>。</w:t>
      </w:r>
      <w:r>
        <w:rPr>
          <w:rFonts w:hint="eastAsia" w:ascii="楷体" w:hAnsi="楷体" w:eastAsia="楷体" w:cs="楷体"/>
          <w:b/>
          <w:sz w:val="32"/>
          <w:szCs w:val="32"/>
        </w:rPr>
        <w:t xml:space="preserve">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落实第二轮中央生态环境保护督察反馈问题整改。制定了《靖州县贯彻落实第二轮中央生态环境保护督察报告整改方案》《靖州县垃圾填埋场专项行动督察反馈问题整改方案》《怀化市生态环局靖州分局落实第二轮中央生态环境保护督察报告整改方案》，第二轮中央生态环境保护督察反馈问题2022年应完成整改销号7个，现完成整改销号7个，完成率100%,2023-2025年应完成整改销号14个，已销号1个，其余13个问题正按时序进度推进整改中。2022年省生态环境厅对</w:t>
      </w:r>
      <w:r>
        <w:rPr>
          <w:rFonts w:hint="default" w:ascii="仿宋" w:hAnsi="仿宋" w:eastAsia="仿宋" w:cs="仿宋"/>
          <w:sz w:val="32"/>
          <w:szCs w:val="32"/>
          <w:lang w:val="en-US" w:eastAsia="zh-CN"/>
        </w:rPr>
        <w:t>我县</w:t>
      </w:r>
      <w:r>
        <w:rPr>
          <w:rFonts w:hint="eastAsia" w:ascii="仿宋" w:hAnsi="仿宋" w:eastAsia="仿宋" w:cs="仿宋"/>
          <w:sz w:val="32"/>
          <w:szCs w:val="32"/>
          <w:lang w:val="en-US" w:eastAsia="zh-CN"/>
        </w:rPr>
        <w:t>生态</w:t>
      </w:r>
      <w:r>
        <w:rPr>
          <w:rFonts w:hint="default" w:ascii="仿宋" w:hAnsi="仿宋" w:eastAsia="仿宋" w:cs="仿宋"/>
          <w:sz w:val="32"/>
          <w:szCs w:val="32"/>
          <w:lang w:val="en-US" w:eastAsia="zh-CN"/>
        </w:rPr>
        <w:t>问题</w:t>
      </w:r>
      <w:r>
        <w:rPr>
          <w:rFonts w:hint="eastAsia" w:ascii="仿宋" w:hAnsi="仿宋" w:eastAsia="仿宋" w:cs="仿宋"/>
          <w:sz w:val="32"/>
          <w:szCs w:val="32"/>
          <w:lang w:val="en-US" w:eastAsia="zh-CN"/>
        </w:rPr>
        <w:t xml:space="preserve">“千字精准画像”反馈问题8个，均全部按时间要求完成整改，完成了垃圾填埋场环境风险问题整改销号。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落实省生态环保督察“回头看及专项督察反馈问题整改。迎接了省、市对省生态环保督察“回头看及专项督察反馈问题整改“工业园l污水处理收集率22问题”的验收检查。联合县委、县政府督察室对全县生态环境问题整改情况开展了专项督查并进行了专项通报。下达了《为进一步压实责任扎实推进问题整改对我县垃圾填理场存在环境风险问题和摸清废弃矿山重金属废渣底数问题》《加强推进突出生态环境问题整改》的提醒函两份，交办单13份，组织县相关部门开展环境安全生产大检查和排非治违检查，出动执法人员130人次，发现并整改环境问题隐患21个。</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（五）强化监管执法打击环境犯罪。</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1.及时处理环境信访。</w:t>
      </w:r>
      <w:r>
        <w:rPr>
          <w:rFonts w:hint="eastAsia" w:ascii="仿宋" w:hAnsi="仿宋" w:eastAsia="仿宋" w:cs="仿宋"/>
          <w:sz w:val="32"/>
          <w:szCs w:val="32"/>
          <w:lang w:val="en-US" w:eastAsia="zh-CN"/>
        </w:rPr>
        <w:t>截止目前，共收到群众来电、来信和来访等反映的环境污染投诉（转办）案件16件，其中涉水投诉1件，涉气投诉10件，涉声投诉5件，以上案件全部处理，办结率100%，及时有效化解环境投诉问题矛盾。</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2.严厉查处环境违法。</w:t>
      </w:r>
      <w:r>
        <w:rPr>
          <w:rFonts w:hint="eastAsia" w:ascii="仿宋" w:hAnsi="仿宋" w:eastAsia="仿宋" w:cs="仿宋"/>
          <w:sz w:val="32"/>
          <w:szCs w:val="32"/>
          <w:lang w:val="en-US" w:eastAsia="zh-CN"/>
        </w:rPr>
        <w:t>截止目前，靖州县生态环境保护综合执法大队共查处环境违法行为10起，其中移送公安3起，公安行政拘留4人，一般行政处罚7起，共计罚款处罚20余万元，严厉震慑了一些环境违法企业，消除了环境安全隐患，确保了我县的环境安全。</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 w:hAnsi="仿宋" w:eastAsia="仿宋" w:cs="Times New Roman"/>
          <w:sz w:val="32"/>
          <w:szCs w:val="32"/>
        </w:rPr>
      </w:pPr>
      <w:r>
        <w:rPr>
          <w:rFonts w:hint="eastAsia" w:ascii="仿宋" w:hAnsi="仿宋" w:eastAsia="仿宋" w:cs="仿宋"/>
          <w:b/>
          <w:bCs/>
          <w:sz w:val="32"/>
          <w:szCs w:val="32"/>
          <w:lang w:val="en-US" w:eastAsia="zh-CN"/>
        </w:rPr>
        <w:t>3.积极开展专项行动。</w:t>
      </w:r>
      <w:r>
        <w:rPr>
          <w:rFonts w:hint="eastAsia" w:ascii="仿宋" w:hAnsi="仿宋" w:eastAsia="仿宋" w:cs="仿宋"/>
          <w:sz w:val="32"/>
          <w:szCs w:val="32"/>
          <w:lang w:val="en-US" w:eastAsia="zh-CN"/>
        </w:rPr>
        <w:t>配合市生态环境局、市城管局对县城市污水处理厂、县垃圾填埋场开展了城管领域生态环境问题专项督查；配合城乡事务中心、县城管局、市场管理局、文化局对中央大街酒吧开展现场噪声防治检查，共检查5家酒吧，对检查出的问题要求落实整改；配合市局开展我县生态环境安全生产大检查和“打非治违”专项检查，共出动执法人员20余人次，检查企业30余家；发现环境隐患3个，已完成整改3个；</w:t>
      </w:r>
      <w:r>
        <w:rPr>
          <w:rFonts w:hint="eastAsia" w:ascii="仿宋" w:hAnsi="仿宋" w:eastAsia="仿宋" w:cs="Times New Roman"/>
          <w:sz w:val="32"/>
          <w:szCs w:val="32"/>
        </w:rPr>
        <w:t>按照省</w:t>
      </w:r>
      <w:r>
        <w:rPr>
          <w:rFonts w:hint="eastAsia" w:ascii="仿宋" w:hAnsi="仿宋" w:eastAsia="仿宋" w:cs="Times New Roman"/>
          <w:sz w:val="32"/>
          <w:szCs w:val="32"/>
          <w:lang w:eastAsia="zh-CN"/>
        </w:rPr>
        <w:t>、</w:t>
      </w:r>
      <w:r>
        <w:rPr>
          <w:rFonts w:hint="eastAsia" w:ascii="仿宋" w:hAnsi="仿宋" w:eastAsia="仿宋" w:cs="Times New Roman"/>
          <w:sz w:val="32"/>
          <w:szCs w:val="32"/>
        </w:rPr>
        <w:t>市部署开展防范化解重大生态环境风险隐患“利剑”行动，制定</w:t>
      </w:r>
      <w:r>
        <w:rPr>
          <w:rFonts w:hint="eastAsia" w:ascii="仿宋" w:hAnsi="仿宋" w:eastAsia="仿宋" w:cs="Times New Roman"/>
          <w:sz w:val="32"/>
          <w:szCs w:val="32"/>
          <w:lang w:eastAsia="zh-CN"/>
        </w:rPr>
        <w:t>了</w:t>
      </w:r>
      <w:r>
        <w:rPr>
          <w:rFonts w:hint="eastAsia" w:ascii="仿宋" w:hAnsi="仿宋" w:eastAsia="仿宋" w:cs="Times New Roman"/>
          <w:sz w:val="32"/>
          <w:szCs w:val="32"/>
        </w:rPr>
        <w:t>《全县防范化解重大生态环境风险隐患“利剑”行动方案》，全面深入开展重点领域生态环境风险隐患排查</w:t>
      </w:r>
      <w:r>
        <w:rPr>
          <w:rFonts w:hint="eastAsia" w:ascii="仿宋" w:hAnsi="仿宋" w:eastAsia="仿宋" w:cs="Times New Roman"/>
          <w:sz w:val="32"/>
          <w:szCs w:val="32"/>
          <w:lang w:val="en-US" w:eastAsia="zh-CN"/>
        </w:rPr>
        <w:t>,</w:t>
      </w:r>
      <w:r>
        <w:rPr>
          <w:rFonts w:hint="default" w:ascii="Times New Roman" w:hAnsi="Times New Roman" w:eastAsia="仿宋_GB2312" w:cs="Times New Roman"/>
          <w:b w:val="0"/>
          <w:bCs w:val="0"/>
          <w:color w:val="auto"/>
          <w:sz w:val="32"/>
          <w:szCs w:val="32"/>
          <w:lang w:val="en-US" w:eastAsia="zh-CN"/>
        </w:rPr>
        <w:t>我县</w:t>
      </w:r>
      <w:r>
        <w:rPr>
          <w:rFonts w:hint="eastAsia" w:cs="Times New Roman"/>
          <w:b w:val="0"/>
          <w:bCs w:val="0"/>
          <w:color w:val="auto"/>
          <w:sz w:val="32"/>
          <w:szCs w:val="32"/>
          <w:lang w:val="en-US" w:eastAsia="zh-CN"/>
        </w:rPr>
        <w:t>涉及</w:t>
      </w:r>
      <w:r>
        <w:rPr>
          <w:rFonts w:hint="default" w:ascii="Times New Roman" w:hAnsi="Times New Roman" w:eastAsia="仿宋_GB2312" w:cs="Times New Roman"/>
          <w:b w:val="0"/>
          <w:bCs w:val="0"/>
          <w:color w:val="auto"/>
          <w:sz w:val="32"/>
          <w:szCs w:val="32"/>
          <w:lang w:val="en-US" w:eastAsia="zh-CN"/>
        </w:rPr>
        <w:t>生态环境风险隐患问题56个</w:t>
      </w:r>
      <w:r>
        <w:rPr>
          <w:rFonts w:hint="eastAsia"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已</w:t>
      </w:r>
      <w:r>
        <w:rPr>
          <w:rFonts w:hint="eastAsia" w:cs="Times New Roman"/>
          <w:b w:val="0"/>
          <w:bCs w:val="0"/>
          <w:color w:val="auto"/>
          <w:sz w:val="32"/>
          <w:szCs w:val="32"/>
          <w:lang w:val="en-US" w:eastAsia="zh-CN"/>
        </w:rPr>
        <w:t>全部</w:t>
      </w:r>
      <w:r>
        <w:rPr>
          <w:rFonts w:hint="default" w:ascii="Times New Roman" w:hAnsi="Times New Roman" w:eastAsia="仿宋_GB2312" w:cs="Times New Roman"/>
          <w:b w:val="0"/>
          <w:bCs w:val="0"/>
          <w:color w:val="auto"/>
          <w:sz w:val="32"/>
          <w:szCs w:val="32"/>
          <w:lang w:val="en-US" w:eastAsia="zh-CN"/>
        </w:rPr>
        <w:t>完成调级。</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4.加强执法能力建设。一是强化执法业务学习。</w:t>
      </w:r>
      <w:r>
        <w:rPr>
          <w:rFonts w:hint="eastAsia" w:ascii="仿宋" w:hAnsi="仿宋" w:eastAsia="仿宋" w:cs="仿宋"/>
          <w:sz w:val="32"/>
          <w:szCs w:val="32"/>
          <w:lang w:val="en-US" w:eastAsia="zh-CN"/>
        </w:rPr>
        <w:t>积极参加了上级环保部门组织的执法、应急等各类业务培训，提高了执法业务水平。</w:t>
      </w:r>
      <w:r>
        <w:rPr>
          <w:rFonts w:hint="eastAsia" w:ascii="仿宋" w:hAnsi="仿宋" w:eastAsia="仿宋" w:cs="仿宋"/>
          <w:b/>
          <w:bCs/>
          <w:sz w:val="32"/>
          <w:szCs w:val="32"/>
          <w:lang w:val="en-US" w:eastAsia="zh-CN"/>
        </w:rPr>
        <w:t>二是强化移动执法效率。</w:t>
      </w:r>
      <w:r>
        <w:rPr>
          <w:rFonts w:hint="eastAsia" w:ascii="仿宋" w:hAnsi="仿宋" w:eastAsia="仿宋" w:cs="仿宋"/>
          <w:sz w:val="32"/>
          <w:szCs w:val="32"/>
          <w:lang w:val="en-US" w:eastAsia="zh-CN"/>
        </w:rPr>
        <w:t>严格按照省、市要求开展移动执法，利用移动终端和先进技术对企业进行了执法检查，尽可能减少企业检查频次，推行柔性执法，营造良好营商环境。截止目前共出动执法人员480余次，检查企业220余家次，上传执法记录240条。</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color w:val="000000"/>
          <w:sz w:val="32"/>
          <w:szCs w:val="32"/>
          <w:lang w:val="en-US" w:eastAsia="zh-CN"/>
        </w:rPr>
        <w:t>（六）严格把关环境项目行政审批。</w:t>
      </w:r>
      <w:r>
        <w:rPr>
          <w:rFonts w:hint="eastAsia" w:ascii="仿宋" w:hAnsi="仿宋" w:eastAsia="仿宋" w:cs="仿宋"/>
          <w:sz w:val="32"/>
          <w:szCs w:val="32"/>
          <w:lang w:val="en-US" w:eastAsia="zh-CN"/>
        </w:rPr>
        <w:t>2022年，共完成靖州县竣盛工艺品厂建设项目、靖州县第二自来水厂建设项目、靖州台泥水泥有限公司减碳资源综合利用项目3个项目的审批，没有出现违规、越权、降级审批的情况；完成了全县46家养殖场的粪污治理项目资料审核工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color w:val="000000" w:themeColor="text1"/>
          <w:sz w:val="32"/>
          <w:szCs w:val="32"/>
          <w:lang w:val="en-US" w:eastAsia="zh-CN"/>
          <w14:textFill>
            <w14:solidFill>
              <w14:schemeClr w14:val="tx1"/>
            </w14:solidFill>
          </w14:textFill>
        </w:rPr>
        <w:t>（七）积极推进</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生态“双创”示范创建。</w:t>
      </w:r>
      <w:r>
        <w:rPr>
          <w:rFonts w:hint="eastAsia" w:ascii="仿宋" w:hAnsi="仿宋" w:eastAsia="仿宋" w:cs="仿宋"/>
          <w:sz w:val="32"/>
          <w:szCs w:val="32"/>
          <w:lang w:val="en-US" w:eastAsia="zh-CN"/>
        </w:rPr>
        <w:t>大力贯彻落实习总书记生态文明思想和“绿水青山就是金山银山”理念，2022年，县委、政府积极争创“绿水青山就是金山银山”实践创新基地和全国生态文明建设示范区，并把“绿水青山就是金山银山”实践创新基地创建作为县落实省政府真抓实干激励项目。9月，靖州县“绿水青山就是金山银山”实践创新基地创建全省排名第一，成绩斐然。10月，成功通过国家“两山基地”专家组核查组线上核查，11月，成功获批国家第六批“绿水青山就是金山银山”实践创新基地。</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（八）扎实开展乡村振兴联村帮扶。</w:t>
      </w:r>
      <w:r>
        <w:rPr>
          <w:rFonts w:hint="eastAsia" w:ascii="仿宋" w:hAnsi="仿宋" w:eastAsia="仿宋" w:cs="仿宋"/>
          <w:sz w:val="32"/>
          <w:szCs w:val="32"/>
          <w:lang w:val="en-US" w:eastAsia="zh-CN"/>
        </w:rPr>
        <w:t>靖州分局克服人少事多的工作困难，按照县委、政府统一部署，委派3名干部对横江桥爱国村开展乡村振兴联村帮扶，巩固脱贫攻坚成果。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7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（九）常态化开展疫情防控工作。</w:t>
      </w:r>
      <w:r>
        <w:rPr>
          <w:rFonts w:hint="eastAsia" w:ascii="仿宋" w:hAnsi="仿宋" w:eastAsia="仿宋" w:cs="仿宋"/>
          <w:sz w:val="32"/>
          <w:szCs w:val="32"/>
          <w:lang w:val="en-US" w:eastAsia="zh-CN"/>
        </w:rPr>
        <w:t>根据县疫情防控指挥部安排部署，全力协助梅林社区抓好疫情防控工作，认真落实疫情防控排查、疫情防控知识宣传、保障全员核酸等工作，坚决打赢打好疫情防控攻坚战。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70" w:lineRule="exact"/>
        <w:ind w:firstLine="640" w:firstLineChars="200"/>
        <w:jc w:val="both"/>
        <w:textAlignment w:val="auto"/>
        <w:rPr>
          <w:rFonts w:hint="eastAsia" w:ascii="黑体" w:hAnsi="黑体" w:eastAsia="黑体" w:cs="黑体"/>
          <w:b/>
          <w:color w:val="auto"/>
          <w:sz w:val="32"/>
          <w:szCs w:val="32"/>
        </w:rPr>
      </w:pPr>
      <w:r>
        <w:rPr>
          <w:rFonts w:hint="eastAsia" w:ascii="仿宋_GB2312" w:eastAsia="仿宋_GB2312"/>
          <w:sz w:val="32"/>
          <w:szCs w:val="32"/>
          <w:lang w:val="en-US" w:eastAsia="zh-CN"/>
        </w:rPr>
        <w:t xml:space="preserve"> </w:t>
      </w:r>
      <w:r>
        <w:rPr>
          <w:rFonts w:hint="eastAsia" w:ascii="黑体" w:hAnsi="黑体" w:eastAsia="黑体" w:cs="黑体"/>
          <w:b/>
          <w:color w:val="auto"/>
          <w:sz w:val="32"/>
          <w:szCs w:val="32"/>
          <w:lang w:eastAsia="zh-CN"/>
        </w:rPr>
        <w:t>三</w:t>
      </w:r>
      <w:r>
        <w:rPr>
          <w:rFonts w:hint="eastAsia" w:ascii="黑体" w:hAnsi="黑体" w:eastAsia="黑体" w:cs="黑体"/>
          <w:b/>
          <w:color w:val="auto"/>
          <w:sz w:val="32"/>
          <w:szCs w:val="32"/>
        </w:rPr>
        <w:t>、存在的问题</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70" w:lineRule="exact"/>
        <w:ind w:firstLine="640" w:firstLineChars="200"/>
        <w:jc w:val="both"/>
        <w:textAlignment w:val="auto"/>
        <w:rPr>
          <w:rFonts w:hint="eastAsia" w:eastAsia="仿宋_GB2312" w:cs="Times New Roman"/>
          <w:b w:val="0"/>
          <w:bCs/>
          <w:sz w:val="32"/>
          <w:szCs w:val="32"/>
          <w:lang w:eastAsia="zh-CN"/>
        </w:rPr>
      </w:pPr>
      <w:r>
        <w:rPr>
          <w:rFonts w:hint="eastAsia" w:eastAsia="仿宋_GB2312" w:cs="Times New Roman"/>
          <w:b w:val="0"/>
          <w:bCs/>
          <w:sz w:val="32"/>
          <w:szCs w:val="32"/>
          <w:lang w:val="en-US" w:eastAsia="zh-CN"/>
        </w:rPr>
        <w:t>近几年来，虽然我县高度重视生态</w:t>
      </w:r>
      <w:r>
        <w:rPr>
          <w:rFonts w:hint="eastAsia" w:eastAsia="仿宋_GB2312" w:cs="Times New Roman"/>
          <w:b w:val="0"/>
          <w:bCs/>
          <w:sz w:val="32"/>
          <w:szCs w:val="32"/>
          <w:lang w:eastAsia="zh-CN"/>
        </w:rPr>
        <w:t>环境工作</w:t>
      </w:r>
      <w:r>
        <w:rPr>
          <w:rFonts w:hint="default" w:ascii="Times New Roman" w:hAnsi="Times New Roman" w:eastAsia="仿宋_GB2312" w:cs="Times New Roman"/>
          <w:b w:val="0"/>
          <w:bCs/>
          <w:sz w:val="32"/>
          <w:szCs w:val="32"/>
        </w:rPr>
        <w:t>，但</w:t>
      </w:r>
      <w:r>
        <w:rPr>
          <w:rFonts w:hint="eastAsia" w:ascii="Times New Roman" w:hAnsi="Times New Roman" w:eastAsia="仿宋_GB2312" w:cs="Times New Roman"/>
          <w:b w:val="0"/>
          <w:bCs/>
          <w:sz w:val="32"/>
          <w:szCs w:val="32"/>
          <w:lang w:eastAsia="zh-CN"/>
        </w:rPr>
        <w:t>制约</w:t>
      </w:r>
      <w:r>
        <w:rPr>
          <w:rFonts w:hint="default" w:ascii="Times New Roman" w:hAnsi="Times New Roman" w:eastAsia="仿宋_GB2312" w:cs="Times New Roman"/>
          <w:b w:val="0"/>
          <w:bCs/>
          <w:sz w:val="32"/>
          <w:szCs w:val="32"/>
        </w:rPr>
        <w:t>环保</w:t>
      </w:r>
      <w:r>
        <w:rPr>
          <w:rFonts w:hint="eastAsia" w:ascii="Times New Roman" w:hAnsi="Times New Roman" w:eastAsia="仿宋_GB2312" w:cs="Times New Roman"/>
          <w:b w:val="0"/>
          <w:bCs/>
          <w:sz w:val="32"/>
          <w:szCs w:val="32"/>
          <w:lang w:eastAsia="zh-CN"/>
        </w:rPr>
        <w:t>工作开展的</w:t>
      </w:r>
      <w:r>
        <w:rPr>
          <w:rFonts w:hint="default" w:ascii="Times New Roman" w:hAnsi="Times New Roman" w:eastAsia="仿宋_GB2312" w:cs="Times New Roman"/>
          <w:b w:val="0"/>
          <w:bCs/>
          <w:sz w:val="32"/>
          <w:szCs w:val="32"/>
        </w:rPr>
        <w:t>问题仍然十分突出，</w:t>
      </w:r>
      <w:r>
        <w:rPr>
          <w:rFonts w:hint="eastAsia" w:ascii="Times New Roman" w:hAnsi="Times New Roman" w:eastAsia="仿宋_GB2312" w:cs="Times New Roman"/>
          <w:b w:val="0"/>
          <w:bCs/>
          <w:sz w:val="32"/>
          <w:szCs w:val="32"/>
          <w:lang w:eastAsia="zh-CN"/>
        </w:rPr>
        <w:t>并</w:t>
      </w:r>
      <w:r>
        <w:rPr>
          <w:rFonts w:hint="default" w:ascii="Times New Roman" w:hAnsi="Times New Roman" w:eastAsia="仿宋_GB2312" w:cs="Times New Roman"/>
          <w:b w:val="0"/>
          <w:bCs/>
          <w:sz w:val="32"/>
          <w:szCs w:val="32"/>
        </w:rPr>
        <w:t>长期得不到有效解决，</w:t>
      </w:r>
      <w:r>
        <w:rPr>
          <w:rFonts w:hint="eastAsia" w:eastAsia="仿宋_GB2312" w:cs="Times New Roman"/>
          <w:b w:val="0"/>
          <w:bCs/>
          <w:sz w:val="32"/>
          <w:szCs w:val="32"/>
          <w:lang w:eastAsia="zh-CN"/>
        </w:rPr>
        <w:t>工作</w:t>
      </w:r>
      <w:r>
        <w:rPr>
          <w:rFonts w:hint="default" w:ascii="Times New Roman" w:hAnsi="Times New Roman" w:eastAsia="仿宋_GB2312" w:cs="Times New Roman"/>
          <w:b w:val="0"/>
          <w:bCs/>
          <w:sz w:val="32"/>
          <w:szCs w:val="32"/>
        </w:rPr>
        <w:t>还存在</w:t>
      </w:r>
      <w:r>
        <w:rPr>
          <w:rFonts w:hint="eastAsia" w:eastAsia="仿宋_GB2312" w:cs="Times New Roman"/>
          <w:b w:val="0"/>
          <w:bCs/>
          <w:sz w:val="32"/>
          <w:szCs w:val="32"/>
          <w:lang w:eastAsia="zh-CN"/>
        </w:rPr>
        <w:t>一些</w:t>
      </w:r>
      <w:r>
        <w:rPr>
          <w:rFonts w:hint="default" w:ascii="Times New Roman" w:hAnsi="Times New Roman" w:eastAsia="仿宋_GB2312" w:cs="Times New Roman"/>
          <w:b w:val="0"/>
          <w:bCs/>
          <w:sz w:val="32"/>
          <w:szCs w:val="32"/>
        </w:rPr>
        <w:t>问题和差距</w:t>
      </w:r>
      <w:r>
        <w:rPr>
          <w:rFonts w:hint="eastAsia" w:eastAsia="仿宋_GB2312" w:cs="Times New Roman"/>
          <w:b w:val="0"/>
          <w:bCs/>
          <w:sz w:val="32"/>
          <w:szCs w:val="32"/>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70" w:lineRule="exact"/>
        <w:ind w:firstLine="643" w:firstLineChars="200"/>
        <w:jc w:val="both"/>
        <w:textAlignment w:val="auto"/>
        <w:rPr>
          <w:rFonts w:ascii="仿宋" w:hAnsi="仿宋" w:eastAsia="仿宋"/>
          <w:sz w:val="32"/>
          <w:szCs w:val="32"/>
        </w:rPr>
      </w:pPr>
      <w:r>
        <w:rPr>
          <w:rFonts w:hint="eastAsia" w:ascii="仿宋" w:hAnsi="仿宋" w:eastAsia="仿宋"/>
          <w:b/>
          <w:bCs/>
          <w:color w:val="000000"/>
          <w:sz w:val="32"/>
          <w:szCs w:val="32"/>
          <w:lang w:val="en-US" w:eastAsia="zh-CN"/>
        </w:rPr>
        <w:t>1、</w:t>
      </w:r>
      <w:r>
        <w:rPr>
          <w:rFonts w:hint="eastAsia" w:ascii="仿宋" w:hAnsi="仿宋" w:eastAsia="仿宋"/>
          <w:b/>
          <w:bCs/>
          <w:color w:val="000000"/>
          <w:sz w:val="32"/>
          <w:szCs w:val="32"/>
          <w:lang w:eastAsia="zh-CN"/>
        </w:rPr>
        <w:t>环保</w:t>
      </w:r>
      <w:r>
        <w:rPr>
          <w:rFonts w:hint="eastAsia" w:ascii="仿宋" w:hAnsi="仿宋" w:eastAsia="仿宋"/>
          <w:b/>
          <w:bCs/>
          <w:color w:val="000000"/>
          <w:sz w:val="32"/>
          <w:szCs w:val="32"/>
        </w:rPr>
        <w:t>资金</w:t>
      </w:r>
      <w:r>
        <w:rPr>
          <w:rFonts w:hint="eastAsia" w:ascii="仿宋" w:hAnsi="仿宋" w:eastAsia="仿宋"/>
          <w:b/>
          <w:bCs/>
          <w:color w:val="000000"/>
          <w:sz w:val="32"/>
          <w:szCs w:val="32"/>
          <w:lang w:eastAsia="zh-CN"/>
        </w:rPr>
        <w:t>和治理投入不匹配</w:t>
      </w:r>
      <w:r>
        <w:rPr>
          <w:rFonts w:hint="eastAsia" w:ascii="仿宋" w:hAnsi="仿宋" w:eastAsia="仿宋"/>
          <w:sz w:val="32"/>
          <w:szCs w:val="32"/>
        </w:rPr>
        <w:t>。</w:t>
      </w:r>
      <w:r>
        <w:rPr>
          <w:rFonts w:hint="eastAsia" w:ascii="仿宋" w:hAnsi="仿宋" w:eastAsia="仿宋"/>
          <w:sz w:val="32"/>
          <w:szCs w:val="32"/>
          <w:lang w:eastAsia="zh-CN"/>
        </w:rPr>
        <w:t>生态环境保护工作中有很多环境治理项目需要大量资金投入，</w:t>
      </w:r>
      <w:r>
        <w:rPr>
          <w:rFonts w:hint="eastAsia" w:ascii="仿宋" w:hAnsi="仿宋" w:eastAsia="仿宋"/>
          <w:sz w:val="32"/>
          <w:szCs w:val="32"/>
        </w:rPr>
        <w:t>目前县</w:t>
      </w:r>
      <w:r>
        <w:rPr>
          <w:rFonts w:hint="eastAsia" w:ascii="仿宋" w:hAnsi="仿宋" w:eastAsia="仿宋"/>
          <w:sz w:val="32"/>
          <w:szCs w:val="32"/>
          <w:lang w:eastAsia="zh-CN"/>
        </w:rPr>
        <w:t>级财政</w:t>
      </w:r>
      <w:r>
        <w:rPr>
          <w:rFonts w:hint="eastAsia" w:ascii="仿宋" w:hAnsi="仿宋" w:eastAsia="仿宋"/>
          <w:sz w:val="32"/>
          <w:szCs w:val="32"/>
        </w:rPr>
        <w:t>非常紧张，资金很难拨</w:t>
      </w:r>
      <w:r>
        <w:rPr>
          <w:rFonts w:hint="eastAsia" w:ascii="仿宋" w:hAnsi="仿宋" w:eastAsia="仿宋"/>
          <w:sz w:val="32"/>
          <w:szCs w:val="32"/>
          <w:lang w:eastAsia="zh-CN"/>
        </w:rPr>
        <w:t>付</w:t>
      </w:r>
      <w:r>
        <w:rPr>
          <w:rFonts w:hint="eastAsia" w:ascii="仿宋" w:hAnsi="仿宋" w:eastAsia="仿宋"/>
          <w:sz w:val="32"/>
          <w:szCs w:val="32"/>
        </w:rPr>
        <w:t>到位，治理项目</w:t>
      </w:r>
      <w:r>
        <w:rPr>
          <w:rFonts w:ascii="仿宋" w:hAnsi="仿宋" w:eastAsia="仿宋"/>
          <w:sz w:val="32"/>
          <w:szCs w:val="32"/>
        </w:rPr>
        <w:t>因资金问题导致进度滞后</w:t>
      </w:r>
      <w:r>
        <w:rPr>
          <w:rFonts w:hint="eastAsia" w:ascii="仿宋" w:hAnsi="仿宋" w:eastAsia="仿宋"/>
          <w:sz w:val="32"/>
          <w:szCs w:val="32"/>
          <w:lang w:eastAsia="zh-CN"/>
        </w:rPr>
        <w:t>，</w:t>
      </w:r>
      <w:r>
        <w:rPr>
          <w:rFonts w:ascii="仿宋" w:hAnsi="仿宋" w:eastAsia="仿宋"/>
          <w:sz w:val="32"/>
          <w:szCs w:val="32"/>
        </w:rPr>
        <w:t>如何解决资金问题，成为</w:t>
      </w:r>
      <w:r>
        <w:rPr>
          <w:rFonts w:hint="eastAsia" w:ascii="仿宋" w:hAnsi="仿宋" w:eastAsia="仿宋"/>
          <w:sz w:val="32"/>
          <w:szCs w:val="32"/>
          <w:lang w:eastAsia="zh-CN"/>
        </w:rPr>
        <w:t>生态环境</w:t>
      </w:r>
      <w:r>
        <w:rPr>
          <w:rFonts w:ascii="仿宋" w:hAnsi="仿宋" w:eastAsia="仿宋"/>
          <w:sz w:val="32"/>
          <w:szCs w:val="32"/>
        </w:rPr>
        <w:t>工作的首要难点。</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70" w:lineRule="exact"/>
        <w:ind w:firstLine="643" w:firstLineChars="200"/>
        <w:jc w:val="both"/>
        <w:textAlignment w:val="auto"/>
        <w:rPr>
          <w:rFonts w:hint="eastAsia" w:ascii="仿宋" w:hAnsi="仿宋" w:eastAsia="仿宋"/>
          <w:sz w:val="32"/>
          <w:szCs w:val="32"/>
        </w:rPr>
      </w:pPr>
      <w:r>
        <w:rPr>
          <w:rFonts w:hint="eastAsia" w:ascii="仿宋" w:hAnsi="仿宋" w:eastAsia="仿宋"/>
          <w:b/>
          <w:bCs/>
          <w:sz w:val="32"/>
          <w:szCs w:val="32"/>
          <w:lang w:val="en-US" w:eastAsia="zh-CN"/>
        </w:rPr>
        <w:t>2、</w:t>
      </w:r>
      <w:r>
        <w:rPr>
          <w:rFonts w:hint="eastAsia" w:ascii="仿宋" w:hAnsi="仿宋" w:eastAsia="仿宋"/>
          <w:b/>
          <w:bCs/>
          <w:sz w:val="32"/>
          <w:szCs w:val="32"/>
          <w:lang w:eastAsia="zh-CN"/>
        </w:rPr>
        <w:t>队伍建设和环保发展不匹配。</w:t>
      </w:r>
      <w:r>
        <w:rPr>
          <w:rFonts w:hint="eastAsia" w:ascii="仿宋" w:hAnsi="仿宋" w:eastAsia="仿宋"/>
          <w:sz w:val="32"/>
          <w:szCs w:val="32"/>
          <w:shd w:val="clear" w:color="auto" w:fill="FFFFFF"/>
          <w:lang w:eastAsia="zh-CN"/>
        </w:rPr>
        <w:t>环保队伍建设力度不强。人员结构相对老化，缺少环境执法人员、监测专业技术人员、监察设备和交通车辆，难以适应日益繁重的环保工作需要；工作经费预算不足。分局的监察执法经费、放射性及危险废物管理所需的经费县财政没有纳</w:t>
      </w:r>
      <w:r>
        <w:rPr>
          <w:rFonts w:hint="eastAsia" w:ascii="仿宋" w:hAnsi="仿宋" w:eastAsia="仿宋"/>
          <w:sz w:val="32"/>
          <w:szCs w:val="32"/>
        </w:rPr>
        <w:t>入预算，监察大队没有执法经费保障，导致监察执法难以取得突破性的工作成效。</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70" w:lineRule="exact"/>
        <w:ind w:firstLine="602" w:firstLineChars="200"/>
        <w:jc w:val="both"/>
        <w:textAlignment w:val="auto"/>
        <w:rPr>
          <w:rFonts w:hint="eastAsia" w:ascii="仿宋" w:hAnsi="仿宋" w:eastAsia="仿宋" w:cs="仿宋"/>
          <w:b/>
          <w:bCs w:val="0"/>
          <w:sz w:val="30"/>
          <w:szCs w:val="30"/>
        </w:rPr>
      </w:pPr>
      <w:r>
        <w:rPr>
          <w:rFonts w:hint="eastAsia" w:ascii="仿宋" w:hAnsi="仿宋" w:eastAsia="仿宋" w:cs="仿宋"/>
          <w:b/>
          <w:bCs w:val="0"/>
          <w:color w:val="000000"/>
          <w:kern w:val="0"/>
          <w:sz w:val="30"/>
          <w:szCs w:val="30"/>
          <w:lang w:eastAsia="zh-CN"/>
        </w:rPr>
        <w:t>六</w:t>
      </w:r>
      <w:r>
        <w:rPr>
          <w:rFonts w:hint="eastAsia" w:ascii="仿宋" w:hAnsi="仿宋" w:eastAsia="仿宋" w:cs="仿宋"/>
          <w:b/>
          <w:bCs w:val="0"/>
          <w:color w:val="000000"/>
          <w:kern w:val="0"/>
          <w:sz w:val="30"/>
          <w:szCs w:val="30"/>
        </w:rPr>
        <w:t>、</w:t>
      </w:r>
      <w:r>
        <w:rPr>
          <w:rFonts w:hint="eastAsia" w:ascii="仿宋" w:hAnsi="仿宋" w:eastAsia="仿宋" w:cs="仿宋"/>
          <w:b/>
          <w:bCs w:val="0"/>
          <w:sz w:val="30"/>
          <w:szCs w:val="30"/>
        </w:rPr>
        <w:t>改进措施和有关建议</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70" w:lineRule="exact"/>
        <w:ind w:firstLine="600" w:firstLineChars="200"/>
        <w:jc w:val="both"/>
        <w:textAlignment w:val="auto"/>
        <w:rPr>
          <w:rFonts w:hint="eastAsia" w:ascii="仿宋" w:hAnsi="仿宋" w:eastAsia="仿宋" w:cs="宋体"/>
          <w:color w:val="000000"/>
          <w:kern w:val="0"/>
          <w:sz w:val="30"/>
          <w:szCs w:val="30"/>
          <w:lang w:val="en-US" w:eastAsia="zh-CN" w:bidi="ar-SA"/>
        </w:rPr>
      </w:pPr>
      <w:r>
        <w:rPr>
          <w:rFonts w:hint="eastAsia" w:ascii="仿宋" w:hAnsi="仿宋" w:eastAsia="仿宋" w:cs="宋体"/>
          <w:color w:val="000000"/>
          <w:kern w:val="0"/>
          <w:sz w:val="30"/>
          <w:szCs w:val="30"/>
          <w:lang w:val="en-US" w:eastAsia="zh-CN" w:bidi="ar-SA"/>
        </w:rPr>
        <w:t>1、加强培训。建议财政部门多开展部门整体绩效评价工作的业务工作培训，组织开展部门之间的经验交流，特别是要组织非财务部门的人员参与评价工作，切实推进绩效评价工作的开展。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70" w:lineRule="exact"/>
        <w:ind w:firstLine="600" w:firstLineChars="200"/>
        <w:jc w:val="both"/>
        <w:textAlignment w:val="auto"/>
        <w:rPr>
          <w:rFonts w:hint="eastAsia" w:ascii="仿宋" w:hAnsi="仿宋" w:eastAsia="仿宋" w:cs="宋体"/>
          <w:color w:val="000000"/>
          <w:kern w:val="0"/>
          <w:sz w:val="30"/>
          <w:szCs w:val="30"/>
          <w:lang w:val="en-US" w:eastAsia="zh-CN" w:bidi="ar-SA"/>
        </w:rPr>
      </w:pPr>
      <w:r>
        <w:rPr>
          <w:rFonts w:hint="eastAsia" w:ascii="仿宋" w:hAnsi="仿宋" w:eastAsia="仿宋" w:cs="宋体"/>
          <w:color w:val="000000"/>
          <w:kern w:val="0"/>
          <w:sz w:val="30"/>
          <w:szCs w:val="30"/>
          <w:lang w:val="en-US" w:eastAsia="zh-CN" w:bidi="ar-SA"/>
        </w:rPr>
        <w:t>2、加大对环保部门的预算支持力度。随着上级环保督察力度的加大，我局的行政处罚力度将会加大，执法成本也会加大，因此，请求县财政局在财务政策和资金方面对我局予以倾斜，以保障我局所需的工作经费，促进全县环境总体质量稳步提升。</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70" w:lineRule="exact"/>
        <w:ind w:firstLine="600" w:firstLineChars="200"/>
        <w:jc w:val="both"/>
        <w:textAlignment w:val="auto"/>
        <w:rPr>
          <w:rFonts w:hint="eastAsia" w:ascii="仿宋" w:hAnsi="仿宋" w:eastAsia="仿宋" w:cs="宋体"/>
          <w:color w:val="000000"/>
          <w:kern w:val="0"/>
          <w:sz w:val="30"/>
          <w:szCs w:val="30"/>
          <w:lang w:val="en-US" w:eastAsia="zh-CN" w:bidi="ar-SA"/>
        </w:rPr>
      </w:pPr>
      <w:r>
        <w:rPr>
          <w:rFonts w:hint="eastAsia" w:ascii="仿宋" w:hAnsi="仿宋" w:eastAsia="仿宋" w:cs="宋体"/>
          <w:color w:val="000000"/>
          <w:kern w:val="0"/>
          <w:sz w:val="30"/>
          <w:szCs w:val="30"/>
          <w:lang w:val="en-US" w:eastAsia="zh-CN" w:bidi="ar-SA"/>
        </w:rPr>
        <w:t>3、加强财务管理，严格财务审批。在费用报账支付时，按照预算规定的费用项目和用途进行资金使用、审核，列报支付，财务核算杜绝超支现象的发生。</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70" w:lineRule="exact"/>
        <w:ind w:firstLine="602" w:firstLineChars="200"/>
        <w:jc w:val="both"/>
        <w:textAlignment w:val="auto"/>
        <w:rPr>
          <w:rFonts w:hint="eastAsia" w:ascii="仿宋" w:hAnsi="仿宋" w:eastAsia="仿宋" w:cs="宋体"/>
          <w:color w:val="000000"/>
          <w:kern w:val="0"/>
          <w:sz w:val="30"/>
          <w:szCs w:val="30"/>
          <w:lang w:val="en-US" w:eastAsia="zh-CN" w:bidi="ar-SA"/>
        </w:rPr>
      </w:pPr>
      <w:r>
        <w:rPr>
          <w:rFonts w:hint="eastAsia" w:ascii="仿宋" w:hAnsi="仿宋" w:eastAsia="仿宋" w:cs="宋体"/>
          <w:b/>
          <w:bCs/>
          <w:color w:val="000000"/>
          <w:kern w:val="0"/>
          <w:sz w:val="30"/>
          <w:szCs w:val="30"/>
          <w:lang w:val="en-US" w:eastAsia="zh-CN" w:bidi="ar-SA"/>
        </w:rPr>
        <w:t xml:space="preserve">七、自评情况 </w:t>
      </w:r>
      <w:r>
        <w:rPr>
          <w:rFonts w:hint="eastAsia" w:ascii="仿宋" w:hAnsi="仿宋" w:eastAsia="仿宋" w:cs="宋体"/>
          <w:color w:val="000000"/>
          <w:kern w:val="0"/>
          <w:sz w:val="30"/>
          <w:szCs w:val="30"/>
          <w:lang w:val="en-US" w:eastAsia="zh-CN" w:bidi="ar-SA"/>
        </w:rPr>
        <w:t xml:space="preserve">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570" w:lineRule="exact"/>
        <w:ind w:firstLine="600" w:firstLineChars="200"/>
        <w:jc w:val="both"/>
        <w:textAlignment w:val="auto"/>
        <w:rPr>
          <w:rFonts w:hint="eastAsia" w:ascii="仿宋" w:hAnsi="仿宋" w:eastAsia="仿宋" w:cs="宋体"/>
          <w:color w:val="000000"/>
          <w:kern w:val="0"/>
          <w:sz w:val="30"/>
          <w:szCs w:val="30"/>
          <w:lang w:val="en-US" w:eastAsia="zh-CN" w:bidi="ar-SA"/>
        </w:rPr>
      </w:pPr>
      <w:r>
        <w:rPr>
          <w:rFonts w:hint="eastAsia" w:ascii="仿宋" w:hAnsi="仿宋" w:eastAsia="仿宋" w:cs="宋体"/>
          <w:color w:val="000000"/>
          <w:kern w:val="0"/>
          <w:sz w:val="30"/>
          <w:szCs w:val="30"/>
          <w:lang w:val="en-US" w:eastAsia="zh-CN" w:bidi="ar-SA"/>
        </w:rPr>
        <w:t>根据评价指标体系测算，本部门整体支出绩效自评得分是98分，评价结果等次为“优”。</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- 15 -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4254B"/>
    <w:multiLevelType w:val="multilevel"/>
    <w:tmpl w:val="1F44254B"/>
    <w:lvl w:ilvl="0" w:tentative="0">
      <w:start w:val="2"/>
      <w:numFmt w:val="decimal"/>
      <w:lvlText w:val="%1"/>
      <w:lvlJc w:val="left"/>
      <w:pPr>
        <w:tabs>
          <w:tab w:val="left" w:pos="432"/>
        </w:tabs>
        <w:ind w:left="432" w:hanging="432"/>
      </w:pPr>
      <w:rPr>
        <w:rFonts w:hint="eastAsia"/>
      </w:rPr>
    </w:lvl>
    <w:lvl w:ilvl="1" w:tentative="0">
      <w:start w:val="1"/>
      <w:numFmt w:val="decimal"/>
      <w:pStyle w:val="3"/>
      <w:lvlText w:val="%2"/>
      <w:lvlJc w:val="left"/>
      <w:pPr>
        <w:tabs>
          <w:tab w:val="left" w:pos="576"/>
        </w:tabs>
        <w:ind w:left="576" w:hanging="576"/>
      </w:pPr>
      <w:rPr>
        <w:rFonts w:ascii="Times New Roman" w:hAnsi="Times New Roman" w:eastAsia="Times New Roman" w:cs="Times New Roman"/>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isLg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MDJhMzM4YjUwN2Q4OTlmNzdmMzU1YjkwNGUzYzAifQ=="/>
  </w:docVars>
  <w:rsids>
    <w:rsidRoot w:val="00000000"/>
    <w:rsid w:val="01C3408B"/>
    <w:rsid w:val="16D177E5"/>
    <w:rsid w:val="18994551"/>
    <w:rsid w:val="1CB8364D"/>
    <w:rsid w:val="1DCC4D7B"/>
    <w:rsid w:val="21EA4019"/>
    <w:rsid w:val="2A397BE0"/>
    <w:rsid w:val="2C8A099B"/>
    <w:rsid w:val="36337BDC"/>
    <w:rsid w:val="38382147"/>
    <w:rsid w:val="3C3A70F8"/>
    <w:rsid w:val="42A16135"/>
    <w:rsid w:val="43BE445B"/>
    <w:rsid w:val="496B1462"/>
    <w:rsid w:val="4CF338F1"/>
    <w:rsid w:val="523E73BD"/>
    <w:rsid w:val="5324211F"/>
    <w:rsid w:val="556A01C5"/>
    <w:rsid w:val="5F667F53"/>
    <w:rsid w:val="5FCA6883"/>
    <w:rsid w:val="66712E74"/>
    <w:rsid w:val="670B6369"/>
    <w:rsid w:val="67E76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2022-01-04T02:13:00Z</dcterms:created>
  <dc:creator>Administrator</dc:creator>
  <cp:lastModifiedBy>Administrator</cp:lastModifiedBy>
  <dcterms:modified xsi:type="dcterms:W3CDTF">2023-02-24T02:09:58Z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CDF91D1551E346DAA277E6184B66C396</vt:lpwstr>
  </property>
</Properties>
</file>