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eastAsia="黑体" w:cs="黑体"/>
          <w:bCs/>
          <w:sz w:val="32"/>
          <w:szCs w:val="32"/>
        </w:rPr>
      </w:pPr>
      <w:r>
        <w:rPr>
          <w:rFonts w:hint="eastAsia" w:eastAsia="黑体" w:cs="黑体"/>
          <w:bCs/>
          <w:sz w:val="32"/>
          <w:szCs w:val="32"/>
        </w:rPr>
        <w:t>附件1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靖州</w:t>
      </w:r>
      <w:r>
        <w:rPr>
          <w:rFonts w:hint="eastAsia" w:eastAsia="方正小标宋简体"/>
          <w:bCs/>
          <w:sz w:val="46"/>
          <w:szCs w:val="46"/>
          <w:u w:val="single"/>
        </w:rPr>
        <w:t xml:space="preserve">  2022  </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u w:val="single"/>
        </w:rPr>
      </w:pPr>
      <w:r>
        <w:rPr>
          <w:rFonts w:hint="eastAsia" w:eastAsia="仿宋_GB2312"/>
          <w:sz w:val="32"/>
        </w:rPr>
        <w:t>部门(单位)名称</w:t>
      </w:r>
      <w:r>
        <w:rPr>
          <w:rFonts w:hint="eastAsia" w:eastAsia="仿宋_GB2312"/>
          <w:sz w:val="32"/>
          <w:u w:val="single"/>
        </w:rPr>
        <w:t xml:space="preserve">  靖州苗族侗族自治县人民医院                                  </w:t>
      </w:r>
    </w:p>
    <w:p>
      <w:pPr>
        <w:spacing w:beforeLines="50" w:line="348" w:lineRule="auto"/>
        <w:ind w:firstLine="476" w:firstLineChars="150"/>
        <w:rPr>
          <w:rFonts w:eastAsia="仿宋_GB2312"/>
          <w:sz w:val="32"/>
        </w:rPr>
      </w:pPr>
      <w:r>
        <w:rPr>
          <w:rFonts w:hint="eastAsia" w:eastAsia="仿宋_GB2312"/>
          <w:sz w:val="32"/>
        </w:rPr>
        <w:t>预算编码</w:t>
      </w:r>
      <w:r>
        <w:rPr>
          <w:rFonts w:hint="eastAsia" w:eastAsia="仿宋_GB2312"/>
          <w:sz w:val="32"/>
          <w:u w:val="single"/>
        </w:rPr>
        <w:t xml:space="preserve">                  503007                       </w:t>
      </w:r>
    </w:p>
    <w:p>
      <w:pPr>
        <w:spacing w:beforeLines="50" w:line="348" w:lineRule="auto"/>
        <w:ind w:firstLine="476"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348" w:lineRule="auto"/>
        <w:ind w:firstLine="476" w:firstLineChars="150"/>
        <w:rPr>
          <w:rFonts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r>
        <w:rPr>
          <w:rFonts w:hint="eastAsia" w:eastAsia="仿宋_GB2312"/>
          <w:sz w:val="32"/>
        </w:rPr>
        <w:t>报告日期： 2023  年  2 月  28 日</w:t>
      </w:r>
    </w:p>
    <w:p>
      <w:pPr>
        <w:autoSpaceDN w:val="0"/>
        <w:jc w:val="center"/>
        <w:textAlignment w:val="center"/>
        <w:rPr>
          <w:rFonts w:eastAsia="仿宋_GB2312"/>
          <w:sz w:val="32"/>
          <w:szCs w:val="32"/>
        </w:rPr>
      </w:pPr>
      <w:r>
        <w:rPr>
          <w:rFonts w:hint="eastAsia" w:eastAsia="仿宋_GB2312"/>
          <w:sz w:val="32"/>
        </w:rPr>
        <w:t>靖州县财政</w:t>
      </w:r>
      <w:r>
        <w:rPr>
          <w:rFonts w:hint="eastAsia" w:eastAsia="仿宋_GB2312"/>
          <w:sz w:val="32"/>
          <w:szCs w:val="32"/>
        </w:rPr>
        <w:t>局（制）</w:t>
      </w:r>
    </w:p>
    <w:p>
      <w:pPr>
        <w:autoSpaceDN w:val="0"/>
        <w:jc w:val="center"/>
        <w:textAlignment w:val="center"/>
        <w:rPr>
          <w:rFonts w:eastAsia="仿宋_GB2312"/>
          <w:sz w:val="32"/>
          <w:szCs w:val="32"/>
        </w:rPr>
        <w:sectPr>
          <w:headerReference r:id="rId3" w:type="default"/>
          <w:footerReference r:id="rId4" w:type="even"/>
          <w:pgSz w:w="11906" w:h="16838"/>
          <w:pgMar w:top="1701" w:right="1417" w:bottom="1701" w:left="1417" w:header="851" w:footer="992" w:gutter="0"/>
          <w:pgNumType w:fmt="numberInDash" w:start="8"/>
          <w:cols w:space="720" w:num="1"/>
          <w:docGrid w:type="linesAndChars" w:linePitch="602" w:charSpace="-782"/>
        </w:sectPr>
      </w:pPr>
    </w:p>
    <w:tbl>
      <w:tblPr>
        <w:tblStyle w:val="8"/>
        <w:tblW w:w="96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92"/>
        <w:gridCol w:w="49"/>
        <w:gridCol w:w="477"/>
        <w:gridCol w:w="739"/>
        <w:gridCol w:w="333"/>
        <w:gridCol w:w="1000"/>
        <w:gridCol w:w="417"/>
        <w:gridCol w:w="655"/>
        <w:gridCol w:w="412"/>
        <w:gridCol w:w="243"/>
        <w:gridCol w:w="24"/>
        <w:gridCol w:w="454"/>
        <w:gridCol w:w="824"/>
        <w:gridCol w:w="97"/>
        <w:gridCol w:w="6"/>
        <w:gridCol w:w="412"/>
        <w:gridCol w:w="7"/>
        <w:gridCol w:w="508"/>
        <w:gridCol w:w="206"/>
        <w:gridCol w:w="261"/>
        <w:gridCol w:w="460"/>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2"/>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邹金</w:t>
            </w:r>
          </w:p>
        </w:tc>
        <w:tc>
          <w:tcPr>
            <w:tcW w:w="1302"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78" w:type="dxa"/>
            <w:gridSpan w:val="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15096261477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310</w:t>
            </w:r>
          </w:p>
        </w:tc>
        <w:tc>
          <w:tcPr>
            <w:tcW w:w="1302"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78" w:type="dxa"/>
            <w:gridSpan w:val="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779" w:type="dxa"/>
            <w:gridSpan w:val="19"/>
            <w:vAlign w:val="center"/>
          </w:tcPr>
          <w:p>
            <w:pPr>
              <w:autoSpaceDN w:val="0"/>
              <w:spacing w:line="400" w:lineRule="exact"/>
              <w:jc w:val="left"/>
              <w:textAlignment w:val="center"/>
              <w:rPr>
                <w:rFonts w:ascii="仿宋_GB2312" w:hAnsi="仿宋_GB2312" w:eastAsia="仿宋_GB2312" w:cs="仿宋_GB2312"/>
                <w:color w:val="000000"/>
                <w:sz w:val="24"/>
              </w:rPr>
            </w:pPr>
            <w:r>
              <w:rPr>
                <w:rFonts w:ascii="仿宋" w:hAnsi="仿宋" w:eastAsia="仿宋"/>
                <w:color w:val="000000"/>
                <w:szCs w:val="21"/>
              </w:rPr>
              <w:t>组织实施全院医疗工作，制定和完善医院医疗质量控制标准及实施方案，对全院医疗质量进行全面的监督、检查、整改，保障医疗安全，切实促进医疗质量管理持续改进</w:t>
            </w:r>
            <w:r>
              <w:rPr>
                <w:rFonts w:hint="eastAsia" w:ascii="仿宋" w:hAnsi="仿宋" w:eastAsia="仿宋"/>
                <w:color w:val="000000"/>
                <w:szCs w:val="21"/>
              </w:rPr>
              <w:t>，为人民健康提供中西医医疗、预防、保健、计划生育指导等医疗卫生服务。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7779" w:type="dxa"/>
            <w:gridSpan w:val="19"/>
            <w:vAlign w:val="center"/>
          </w:tcPr>
          <w:p>
            <w:pPr>
              <w:pStyle w:val="7"/>
              <w:widowControl/>
              <w:shd w:val="clear" w:color="auto" w:fill="FFFFFF"/>
              <w:spacing w:before="0" w:beforeAutospacing="0" w:after="0" w:afterAutospacing="0" w:line="560" w:lineRule="atLeast"/>
              <w:jc w:val="both"/>
              <w:rPr>
                <w:rFonts w:ascii="仿宋" w:hAnsi="仿宋" w:eastAsia="仿宋" w:cs="仿宋"/>
                <w:sz w:val="21"/>
                <w:szCs w:val="21"/>
              </w:rPr>
            </w:pPr>
            <w:r>
              <w:rPr>
                <w:rFonts w:hint="eastAsia" w:ascii="仿宋" w:hAnsi="仿宋" w:eastAsia="仿宋"/>
                <w:sz w:val="21"/>
                <w:szCs w:val="21"/>
              </w:rPr>
              <w:t>任务1：认真贯彻落实公立医院体制改革、</w:t>
            </w:r>
            <w:r>
              <w:rPr>
                <w:rFonts w:hint="eastAsia" w:ascii="仿宋" w:hAnsi="仿宋" w:eastAsia="仿宋"/>
                <w:color w:val="000000"/>
                <w:sz w:val="21"/>
                <w:szCs w:val="21"/>
              </w:rPr>
              <w:t>切实促进医疗质量和医疗水平的不断提高；</w:t>
            </w:r>
            <w:r>
              <w:rPr>
                <w:rFonts w:hint="eastAsia" w:ascii="仿宋" w:hAnsi="仿宋" w:eastAsia="仿宋"/>
                <w:sz w:val="21"/>
                <w:szCs w:val="21"/>
              </w:rPr>
              <w:br w:type="textWrapping"/>
            </w:r>
            <w:r>
              <w:rPr>
                <w:rFonts w:hint="eastAsia" w:ascii="仿宋" w:hAnsi="仿宋" w:eastAsia="仿宋"/>
                <w:sz w:val="21"/>
                <w:szCs w:val="21"/>
              </w:rPr>
              <w:t>任务2：根据国家法律法规和医疗政策制定切实可行的方案，满足人民群总不断提高的医疗需求。</w:t>
            </w:r>
            <w:r>
              <w:rPr>
                <w:rFonts w:hint="eastAsia" w:ascii="仿宋" w:hAnsi="仿宋" w:eastAsia="仿宋" w:cs="仿宋"/>
                <w:sz w:val="21"/>
                <w:szCs w:val="21"/>
              </w:rPr>
              <w:br w:type="textWrapping"/>
            </w:r>
            <w:r>
              <w:rPr>
                <w:rFonts w:hint="eastAsia" w:ascii="仿宋" w:hAnsi="仿宋" w:eastAsia="仿宋" w:cs="仿宋"/>
                <w:sz w:val="21"/>
                <w:szCs w:val="21"/>
              </w:rPr>
              <w:t>任务3:承担意外灾害事故、疫情等突发公共卫生事件的医疗急救及社区预防、保健和康复医疗服务工作.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7779" w:type="dxa"/>
            <w:gridSpan w:val="19"/>
            <w:vAlign w:val="center"/>
          </w:tcPr>
          <w:p>
            <w:pPr>
              <w:snapToGrid w:val="0"/>
              <w:rPr>
                <w:rFonts w:ascii="仿宋" w:hAnsi="仿宋" w:cs="仿宋"/>
                <w:color w:val="000000"/>
                <w:szCs w:val="21"/>
              </w:rPr>
            </w:pPr>
            <w:r>
              <w:rPr>
                <w:rFonts w:hint="eastAsia" w:ascii="仿宋" w:hAnsi="仿宋" w:eastAsia="仿宋" w:cs="仿宋"/>
                <w:kern w:val="0"/>
                <w:szCs w:val="21"/>
              </w:rPr>
              <w:t>贯彻落实国家基本药物制度和药品集中采购工作，执行医用耗材集中采购工作，考核合格率98%；</w:t>
            </w:r>
            <w:r>
              <w:rPr>
                <w:rFonts w:hint="eastAsia" w:ascii="仿宋" w:hAnsi="仿宋" w:eastAsia="仿宋" w:cs="仿宋"/>
                <w:color w:val="000000"/>
                <w:szCs w:val="21"/>
              </w:rPr>
              <w:t>出院诊断符合率≥95%，危重病人抢救成功率≥80% 。</w:t>
            </w:r>
            <w:r>
              <w:rPr>
                <w:rFonts w:hint="eastAsia" w:ascii="宋体" w:hAnsi="宋体"/>
                <w:sz w:val="18"/>
                <w:szCs w:val="18"/>
              </w:rPr>
              <w:t>患者对医疗服务的满意度﹥90%。</w:t>
            </w:r>
          </w:p>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2"/>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40" w:type="dxa"/>
            <w:gridSpan w:val="18"/>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continue"/>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265"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72"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133"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54"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64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1392" w:type="dxa"/>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072"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133"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54"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648"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072"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133"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54"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648"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17383</w:t>
            </w: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072"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883</w:t>
            </w:r>
          </w:p>
        </w:tc>
        <w:tc>
          <w:tcPr>
            <w:tcW w:w="1133"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54"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16500</w:t>
            </w:r>
          </w:p>
        </w:tc>
        <w:tc>
          <w:tcPr>
            <w:tcW w:w="1648"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072"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133"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54"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648"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9697" w:type="dxa"/>
            <w:gridSpan w:val="2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98" w:type="dxa"/>
            <w:gridSpan w:val="15"/>
            <w:tcBorders>
              <w:left w:val="single" w:color="auto" w:sz="4" w:space="0"/>
              <w:bottom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42" w:type="dxa"/>
            <w:gridSpan w:val="3"/>
            <w:tcBorders>
              <w:left w:val="single" w:color="auto" w:sz="4" w:space="0"/>
              <w:bottom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vAlign w:val="center"/>
          </w:tcPr>
          <w:p>
            <w:pPr>
              <w:spacing w:line="400" w:lineRule="exact"/>
              <w:jc w:val="center"/>
              <w:rPr>
                <w:rFonts w:ascii="仿宋_GB2312" w:hAnsi="仿宋_GB2312" w:eastAsia="仿宋_GB2312" w:cs="仿宋_GB2312"/>
                <w:sz w:val="24"/>
              </w:rPr>
            </w:pPr>
          </w:p>
        </w:tc>
        <w:tc>
          <w:tcPr>
            <w:tcW w:w="1265"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vMerge w:val="restart"/>
            <w:tcBorders>
              <w:top w:val="single" w:color="auto" w:sz="4" w:space="0"/>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132" w:type="dxa"/>
            <w:gridSpan w:val="9"/>
            <w:tcBorders>
              <w:top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33" w:type="dxa"/>
            <w:gridSpan w:val="4"/>
            <w:vMerge w:val="restart"/>
            <w:tcBorders>
              <w:top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1" w:type="dxa"/>
            <w:gridSpan w:val="2"/>
            <w:vMerge w:val="restart"/>
            <w:tcBorders>
              <w:top w:val="single" w:color="auto" w:sz="4" w:space="0"/>
              <w:left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21" w:type="dxa"/>
            <w:vMerge w:val="restart"/>
            <w:tcBorders>
              <w:top w:val="single" w:color="auto" w:sz="4" w:space="0"/>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vAlign w:val="center"/>
          </w:tcPr>
          <w:p>
            <w:pPr>
              <w:spacing w:line="400" w:lineRule="exact"/>
              <w:jc w:val="center"/>
              <w:rPr>
                <w:rFonts w:ascii="仿宋_GB2312" w:hAnsi="仿宋_GB2312" w:eastAsia="仿宋_GB2312" w:cs="仿宋_GB2312"/>
                <w:sz w:val="24"/>
              </w:rPr>
            </w:pPr>
          </w:p>
        </w:tc>
        <w:tc>
          <w:tcPr>
            <w:tcW w:w="1265"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484"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4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33" w:type="dxa"/>
            <w:gridSpan w:val="4"/>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gridSpan w:val="2"/>
            <w:vMerge w:val="continue"/>
            <w:tcBorders>
              <w:left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484"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64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133"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484"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64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133"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vAlign w:val="center"/>
          </w:tcPr>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17383</w:t>
            </w: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17383</w:t>
            </w:r>
          </w:p>
        </w:tc>
        <w:tc>
          <w:tcPr>
            <w:tcW w:w="1484"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5062</w:t>
            </w:r>
          </w:p>
        </w:tc>
        <w:tc>
          <w:tcPr>
            <w:tcW w:w="164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12321</w:t>
            </w:r>
          </w:p>
        </w:tc>
        <w:tc>
          <w:tcPr>
            <w:tcW w:w="1133"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484"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64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133"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21"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40" w:type="dxa"/>
            <w:gridSpan w:val="18"/>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vAlign w:val="center"/>
          </w:tcPr>
          <w:p>
            <w:pPr>
              <w:spacing w:line="400" w:lineRule="exact"/>
              <w:jc w:val="center"/>
              <w:rPr>
                <w:rFonts w:ascii="仿宋_GB2312" w:hAnsi="仿宋_GB2312" w:eastAsia="仿宋_GB2312" w:cs="仿宋_GB2312"/>
                <w:sz w:val="24"/>
              </w:rPr>
            </w:pPr>
          </w:p>
        </w:tc>
        <w:tc>
          <w:tcPr>
            <w:tcW w:w="1265"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156"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56"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56"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11.9</w:t>
            </w: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5.95</w:t>
            </w:r>
          </w:p>
        </w:tc>
        <w:tc>
          <w:tcPr>
            <w:tcW w:w="1751"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5.95</w:t>
            </w:r>
          </w:p>
        </w:tc>
        <w:tc>
          <w:tcPr>
            <w:tcW w:w="1800"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56"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56"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4877" w:type="dxa"/>
            <w:gridSpan w:val="12"/>
            <w:tcBorders>
              <w:left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63" w:type="dxa"/>
            <w:gridSpan w:val="6"/>
            <w:vMerge w:val="restart"/>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Merge w:val="continue"/>
            <w:vAlign w:val="center"/>
          </w:tcPr>
          <w:p>
            <w:pPr>
              <w:spacing w:line="400" w:lineRule="exact"/>
              <w:jc w:val="center"/>
              <w:rPr>
                <w:rFonts w:ascii="仿宋_GB2312" w:hAnsi="仿宋_GB2312" w:eastAsia="仿宋_GB2312" w:cs="仿宋_GB2312"/>
                <w:sz w:val="24"/>
              </w:rPr>
            </w:pPr>
          </w:p>
        </w:tc>
        <w:tc>
          <w:tcPr>
            <w:tcW w:w="1265"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084" w:type="dxa"/>
            <w:gridSpan w:val="7"/>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1793" w:type="dxa"/>
            <w:gridSpan w:val="5"/>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2163" w:type="dxa"/>
            <w:gridSpan w:val="6"/>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084" w:type="dxa"/>
            <w:gridSpan w:val="7"/>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93"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63"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084" w:type="dxa"/>
            <w:gridSpan w:val="7"/>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93"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63"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183699.4</w:t>
            </w:r>
          </w:p>
        </w:tc>
        <w:tc>
          <w:tcPr>
            <w:tcW w:w="3084" w:type="dxa"/>
            <w:gridSpan w:val="7"/>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183699.4</w:t>
            </w:r>
          </w:p>
        </w:tc>
        <w:tc>
          <w:tcPr>
            <w:tcW w:w="1793"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63"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392"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084" w:type="dxa"/>
            <w:gridSpan w:val="7"/>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93"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163"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9697" w:type="dxa"/>
            <w:gridSpan w:val="22"/>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76" w:type="dxa"/>
            <w:gridSpan w:val="8"/>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980" w:type="dxa"/>
            <w:gridSpan w:val="1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73"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4276" w:type="dxa"/>
            <w:gridSpan w:val="8"/>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目标1：预算收入17383万元</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目标2：门急诊人次150000</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目标3：出院人次22000</w:t>
            </w:r>
          </w:p>
        </w:tc>
        <w:tc>
          <w:tcPr>
            <w:tcW w:w="3980" w:type="dxa"/>
            <w:gridSpan w:val="12"/>
            <w:vAlign w:val="center"/>
          </w:tcPr>
          <w:p>
            <w:pPr>
              <w:numPr>
                <w:ilvl w:val="0"/>
                <w:numId w:val="1"/>
              </w:num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实际收入15934万元，完成率91.7%</w:t>
            </w:r>
          </w:p>
          <w:p>
            <w:pPr>
              <w:numPr>
                <w:ilvl w:val="0"/>
                <w:numId w:val="1"/>
              </w:num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实际人次146662，完成率97.77%</w:t>
            </w:r>
          </w:p>
          <w:p>
            <w:pPr>
              <w:numPr>
                <w:ilvl w:val="0"/>
                <w:numId w:val="1"/>
              </w:num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实际出院人次19368，完成率88.04%，受新冠疫情影响，住院病人显著下降。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c>
          <w:tcPr>
            <w:tcW w:w="2966"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（部门工作实绩，根据部门实际进行调整细化）</w:t>
            </w: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指标1：预算收入17383万元</w:t>
            </w:r>
          </w:p>
        </w:tc>
        <w:tc>
          <w:tcPr>
            <w:tcW w:w="2581" w:type="dxa"/>
            <w:gridSpan w:val="8"/>
            <w:vAlign w:val="center"/>
          </w:tcPr>
          <w:p>
            <w:pPr>
              <w:numPr>
                <w:ilvl w:val="0"/>
                <w:numId w:val="1"/>
              </w:num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实际收入16955万元，完成率91.7%</w:t>
            </w:r>
          </w:p>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spacing w:line="400" w:lineRule="exact"/>
              <w:rPr>
                <w:rFonts w:ascii="仿宋_GB2312" w:hAnsi="仿宋_GB2312" w:eastAsia="仿宋_GB2312" w:cs="仿宋_GB2312"/>
                <w:sz w:val="24"/>
              </w:rPr>
            </w:pP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Cs w:val="21"/>
              </w:rPr>
              <w:t>保质保量完成各项工作任务</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spacing w:line="400" w:lineRule="exact"/>
              <w:rPr>
                <w:rFonts w:ascii="仿宋_GB2312" w:hAnsi="仿宋_GB2312" w:eastAsia="仿宋_GB2312" w:cs="仿宋_GB2312"/>
                <w:sz w:val="24"/>
              </w:rPr>
            </w:pP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指标1：门诊人次150000</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146662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指标2：出院人次22000</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19368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7"/>
          </w:tcPr>
          <w:p>
            <w:pPr>
              <w:rPr>
                <w:rFonts w:ascii="仿宋" w:hAnsi="仿宋" w:eastAsia="仿宋" w:cs="仿宋"/>
                <w:szCs w:val="21"/>
              </w:rPr>
            </w:pPr>
            <w:r>
              <w:rPr>
                <w:rFonts w:hint="eastAsia" w:ascii="仿宋_GB2312" w:hAnsi="仿宋_GB2312" w:eastAsia="仿宋_GB2312" w:cs="仿宋_GB2312"/>
                <w:color w:val="000000"/>
                <w:sz w:val="24"/>
              </w:rPr>
              <w:t>指标3：</w:t>
            </w:r>
            <w:r>
              <w:rPr>
                <w:rFonts w:ascii="仿宋" w:hAnsi="仿宋" w:eastAsia="仿宋" w:cs="仿宋"/>
                <w:szCs w:val="21"/>
              </w:rPr>
              <w:t>手术人次完成率</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Cs w:val="21"/>
              </w:rPr>
              <w:t>年度各项工作完成时间</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Cs w:val="21"/>
              </w:rPr>
              <w:t>公务接待费控制数</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color w:val="000000"/>
                <w:szCs w:val="21"/>
              </w:rPr>
              <w:t>公务用车运行维护费</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3.08万元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 w:hAnsi="仿宋" w:eastAsia="仿宋" w:cs="仿宋"/>
                <w:color w:val="000000"/>
                <w:szCs w:val="21"/>
              </w:rPr>
              <w:t>年度预算支出控制数</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7"/>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指标1.</w:t>
            </w:r>
            <w:r>
              <w:rPr>
                <w:rFonts w:hint="eastAsia" w:ascii="仿宋_GB2312" w:eastAsia="仿宋_GB2312" w:hAnsiTheme="minorEastAsia"/>
                <w:kern w:val="0"/>
                <w:szCs w:val="21"/>
              </w:rPr>
              <w:t xml:space="preserve"> 让社会公众对医院整体以及医疗服务满意率；</w:t>
            </w:r>
          </w:p>
        </w:tc>
        <w:tc>
          <w:tcPr>
            <w:tcW w:w="2581" w:type="dxa"/>
            <w:gridSpan w:val="8"/>
            <w:vAlign w:val="center"/>
          </w:tcPr>
          <w:p>
            <w:pPr>
              <w:widowControl/>
              <w:ind w:firstLine="1058" w:firstLineChars="450"/>
              <w:jc w:val="left"/>
              <w:textAlignment w:val="center"/>
              <w:rPr>
                <w:rFonts w:ascii="宋体" w:hAnsi="宋体" w:cs="宋体"/>
                <w:color w:val="000000"/>
                <w:sz w:val="24"/>
              </w:rPr>
            </w:pPr>
            <w:r>
              <w:rPr>
                <w:rFonts w:hint="eastAsia" w:ascii="宋体" w:hAnsi="宋体" w:cs="宋体"/>
                <w:color w:val="000000"/>
                <w:sz w:val="24"/>
              </w:rPr>
              <w:t>已达到95%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eastAsia="仿宋_GB2312" w:hAnsiTheme="minorEastAsia"/>
                <w:kern w:val="0"/>
                <w:szCs w:val="21"/>
              </w:rPr>
              <w:t>公共卫生服务以及医疗技术达标率</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581" w:type="dxa"/>
            <w:gridSpan w:val="8"/>
            <w:vAlign w:val="center"/>
          </w:tcPr>
          <w:p>
            <w:pPr>
              <w:widowControl/>
              <w:ind w:firstLine="940" w:firstLineChars="400"/>
              <w:jc w:val="left"/>
              <w:textAlignment w:val="center"/>
              <w:rPr>
                <w:rFonts w:ascii="宋体" w:hAnsi="宋体" w:cs="宋体"/>
                <w:color w:val="000000"/>
                <w:sz w:val="24"/>
              </w:rPr>
            </w:pPr>
            <w:r>
              <w:rPr>
                <w:rFonts w:hint="eastAsia" w:ascii="宋体" w:hAnsi="宋体" w:cs="宋体"/>
                <w:color w:val="000000"/>
                <w:kern w:val="0"/>
                <w:sz w:val="24"/>
              </w:rPr>
              <w:t>已达到100%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 w:hAnsi="仿宋" w:eastAsia="仿宋" w:cs="仿宋"/>
                <w:szCs w:val="21"/>
              </w:rPr>
              <w:t>医疗废物的处置</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2"/>
            <w:vMerge w:val="continue"/>
            <w:vAlign w:val="center"/>
          </w:tcPr>
          <w:p>
            <w:pPr>
              <w:spacing w:line="400" w:lineRule="exact"/>
              <w:rPr>
                <w:rFonts w:ascii="仿宋_GB2312" w:hAnsi="仿宋_GB2312" w:eastAsia="仿宋_GB2312" w:cs="仿宋_GB2312"/>
                <w:sz w:val="24"/>
              </w:rPr>
            </w:pPr>
          </w:p>
        </w:tc>
        <w:tc>
          <w:tcPr>
            <w:tcW w:w="154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7"/>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指标1：患者满意度</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581" w:type="dxa"/>
            <w:gridSpan w:val="8"/>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707" w:type="dxa"/>
            <w:gridSpan w:val="1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2990"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707" w:type="dxa"/>
            <w:gridSpan w:val="17"/>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9697" w:type="dxa"/>
            <w:gridSpan w:val="22"/>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1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181"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谭顺英</w:t>
            </w:r>
          </w:p>
        </w:tc>
        <w:tc>
          <w:tcPr>
            <w:tcW w:w="379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副院长</w:t>
            </w:r>
          </w:p>
        </w:tc>
        <w:tc>
          <w:tcPr>
            <w:tcW w:w="2799" w:type="dxa"/>
            <w:gridSpan w:val="1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人民医院</w:t>
            </w:r>
          </w:p>
        </w:tc>
        <w:tc>
          <w:tcPr>
            <w:tcW w:w="1181"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谭顺英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邹金</w:t>
            </w:r>
          </w:p>
        </w:tc>
        <w:tc>
          <w:tcPr>
            <w:tcW w:w="379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财务科长</w:t>
            </w:r>
          </w:p>
        </w:tc>
        <w:tc>
          <w:tcPr>
            <w:tcW w:w="2799" w:type="dxa"/>
            <w:gridSpan w:val="10"/>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人民医院</w:t>
            </w:r>
          </w:p>
        </w:tc>
        <w:tc>
          <w:tcPr>
            <w:tcW w:w="1181"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邹金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79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99" w:type="dxa"/>
            <w:gridSpan w:val="10"/>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181"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18"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799"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99" w:type="dxa"/>
            <w:gridSpan w:val="10"/>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181"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7" w:hRule="atLeast"/>
        </w:trPr>
        <w:tc>
          <w:tcPr>
            <w:tcW w:w="9697" w:type="dxa"/>
            <w:gridSpan w:val="22"/>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评价组组长（签字）：谭顺英</w:t>
            </w: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2023 年  2 月  28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4" w:hRule="atLeast"/>
        </w:trPr>
        <w:tc>
          <w:tcPr>
            <w:tcW w:w="9697" w:type="dxa"/>
            <w:gridSpan w:val="22"/>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部门（单位）意见：同意</w:t>
            </w: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部门（单位）负责人（签章）：黄锋</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2023 年  2 月  28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66" w:hRule="atLeast"/>
        </w:trPr>
        <w:tc>
          <w:tcPr>
            <w:tcW w:w="9697" w:type="dxa"/>
            <w:gridSpan w:val="22"/>
            <w:vAlign w:val="center"/>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填报人（签名）：邹金                         联系电话：15096261477</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9230" w:type="dxa"/>
          </w:tcPr>
          <w:p>
            <w:pPr>
              <w:jc w:val="center"/>
              <w:rPr>
                <w:rFonts w:ascii="黑体" w:hAnsi="黑体" w:eastAsia="黑体" w:cs="黑体"/>
                <w:b/>
                <w:bCs/>
                <w:sz w:val="28"/>
                <w:szCs w:val="28"/>
              </w:rPr>
            </w:pPr>
            <w:r>
              <w:rPr>
                <w:rFonts w:hint="eastAsia" w:ascii="黑体" w:hAnsi="黑体" w:eastAsia="黑体" w:cs="黑体"/>
                <w:b/>
                <w:bCs/>
                <w:sz w:val="28"/>
                <w:szCs w:val="28"/>
              </w:rPr>
              <w:t>五、评价报告综述（文字部分）</w:t>
            </w:r>
          </w:p>
          <w:p>
            <w:pPr>
              <w:spacing w:line="440" w:lineRule="exact"/>
              <w:ind w:firstLine="630" w:firstLineChars="200"/>
              <w:rPr>
                <w:rFonts w:eastAsia="仿宋_GB2312"/>
                <w:sz w:val="32"/>
                <w:szCs w:val="32"/>
              </w:rPr>
            </w:pPr>
          </w:p>
          <w:p>
            <w:pPr>
              <w:spacing w:line="400" w:lineRule="exact"/>
              <w:ind w:firstLine="550" w:firstLineChars="200"/>
              <w:rPr>
                <w:rFonts w:ascii="黑体" w:hAnsi="黑体" w:eastAsia="黑体" w:cs="黑体"/>
                <w:bCs/>
                <w:sz w:val="28"/>
                <w:szCs w:val="28"/>
              </w:rPr>
            </w:pPr>
            <w:r>
              <w:rPr>
                <w:rFonts w:hint="eastAsia" w:ascii="黑体" w:hAnsi="黑体" w:eastAsia="黑体" w:cs="黑体"/>
                <w:bCs/>
                <w:sz w:val="28"/>
                <w:szCs w:val="28"/>
              </w:rPr>
              <w:t>一、单位概况</w:t>
            </w:r>
          </w:p>
          <w:p>
            <w:pPr>
              <w:spacing w:line="400" w:lineRule="exact"/>
              <w:ind w:firstLine="55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ind w:firstLine="550" w:firstLineChars="200"/>
              <w:rPr>
                <w:rFonts w:ascii="仿宋_GB2312"/>
                <w:sz w:val="28"/>
                <w:szCs w:val="28"/>
              </w:rPr>
            </w:pPr>
            <w:r>
              <w:rPr>
                <w:rFonts w:hint="eastAsia" w:ascii="宋体" w:hAnsi="宋体" w:cs="宋体"/>
                <w:sz w:val="28"/>
                <w:szCs w:val="28"/>
              </w:rPr>
              <w:t>我院属于财政差额拨款的事业单位，在职人员编制数为310人，实际人数为523人，人事代理人员330人，共有在职职工523人，退休职工159人。</w:t>
            </w:r>
            <w:r>
              <w:rPr>
                <w:rFonts w:hint="eastAsia" w:ascii="宋体" w:hAnsi="宋体" w:cs="宋体"/>
                <w:color w:val="333333"/>
                <w:sz w:val="28"/>
                <w:szCs w:val="28"/>
                <w:shd w:val="clear" w:color="auto" w:fill="FFFFFF"/>
              </w:rPr>
              <w:t>床位编制650张，实际开放床位590张。</w:t>
            </w:r>
            <w:r>
              <w:rPr>
                <w:rFonts w:hint="eastAsia" w:ascii="仿宋_GB2312"/>
                <w:sz w:val="28"/>
                <w:szCs w:val="28"/>
              </w:rPr>
              <w:t>靖州县人民医院组织实施全院医疗工作，制定和完善医院医疗质量控制标准及实施方案，对全院医疗质量进行全面的监督，检查，整改，保障医疗安全，切实促进医疗质量管理持续改进，为人民健康提供中西医医疗，预付，保健，等医疗卫生服务。</w:t>
            </w:r>
          </w:p>
          <w:p>
            <w:pPr>
              <w:numPr>
                <w:ilvl w:val="0"/>
                <w:numId w:val="2"/>
              </w:numPr>
              <w:spacing w:line="400" w:lineRule="exact"/>
              <w:ind w:firstLine="55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widowControl/>
              <w:ind w:firstLine="640"/>
              <w:rPr>
                <w:rFonts w:ascii="宋体" w:hAnsi="宋体" w:cs="宋体"/>
                <w:color w:val="FF0000"/>
                <w:kern w:val="0"/>
                <w:sz w:val="28"/>
                <w:szCs w:val="28"/>
              </w:rPr>
            </w:pPr>
            <w:r>
              <w:rPr>
                <w:rFonts w:hint="eastAsia" w:ascii="宋体" w:hAnsi="宋体" w:cs="宋体"/>
                <w:sz w:val="28"/>
                <w:szCs w:val="28"/>
              </w:rPr>
              <w:t>2022年我院实际收入15934万元，其中财政补助实际收入913万元，</w:t>
            </w:r>
            <w:r>
              <w:rPr>
                <w:rFonts w:hint="eastAsia" w:ascii="宋体" w:hAnsi="宋体" w:cs="宋体"/>
                <w:color w:val="333333"/>
                <w:kern w:val="0"/>
                <w:sz w:val="28"/>
                <w:szCs w:val="28"/>
              </w:rPr>
              <w:t>事业收入14871万元。</w:t>
            </w:r>
            <w:r>
              <w:rPr>
                <w:rFonts w:hint="eastAsia" w:ascii="宋体" w:hAnsi="宋体" w:cs="宋体"/>
                <w:sz w:val="28"/>
                <w:szCs w:val="28"/>
              </w:rPr>
              <w:t>本年实际支出15088万元，其中工资福利支出5743.6万元，商品和服务支出8579.7万元，对个人和家庭的补助29.3万元，资本性支出715.5万元。</w:t>
            </w:r>
          </w:p>
          <w:p>
            <w:pPr>
              <w:spacing w:line="400" w:lineRule="exact"/>
              <w:ind w:firstLine="275" w:firstLineChars="100"/>
              <w:rPr>
                <w:rFonts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400" w:lineRule="exact"/>
              <w:ind w:firstLine="55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widowControl/>
              <w:shd w:val="clear" w:color="auto" w:fill="FFFFFF"/>
              <w:spacing w:line="560" w:lineRule="exact"/>
              <w:ind w:firstLine="640"/>
              <w:rPr>
                <w:rFonts w:ascii="宋体" w:hAnsi="宋体" w:cs="宋体"/>
                <w:bCs/>
                <w:kern w:val="0"/>
                <w:sz w:val="28"/>
                <w:szCs w:val="28"/>
              </w:rPr>
            </w:pPr>
            <w:r>
              <w:rPr>
                <w:rFonts w:hint="eastAsia" w:ascii="仿宋_GB2312" w:hAnsi="仿宋_GB2312" w:eastAsia="仿宋_GB2312" w:cs="仿宋_GB2312"/>
                <w:bCs/>
                <w:sz w:val="28"/>
                <w:szCs w:val="28"/>
              </w:rPr>
              <w:t>本年度总支出</w:t>
            </w:r>
            <w:r>
              <w:rPr>
                <w:rFonts w:hint="eastAsia" w:ascii="宋体" w:hAnsi="宋体" w:cs="宋体"/>
                <w:sz w:val="28"/>
                <w:szCs w:val="28"/>
              </w:rPr>
              <w:t>15088万元，</w:t>
            </w:r>
            <w:r>
              <w:rPr>
                <w:rFonts w:hint="eastAsia" w:ascii="宋体" w:hAnsi="宋体" w:cs="宋体"/>
                <w:bCs/>
                <w:kern w:val="0"/>
                <w:sz w:val="28"/>
                <w:szCs w:val="28"/>
              </w:rPr>
              <w:t>均为本单位工作的正常人员经费、日常公用经费开支，没有违规情况。本单位在经费使用过程中严格执行相关会计制度和财务管理制度，量入为出，合理安排各项收支，精打细算，把有限的资金用在刀刃上，资金利用率达100%。</w:t>
            </w:r>
          </w:p>
          <w:p>
            <w:pPr>
              <w:spacing w:line="400" w:lineRule="exact"/>
              <w:ind w:firstLine="55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400" w:lineRule="exact"/>
              <w:ind w:firstLine="55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本年度没有专项支出</w:t>
            </w:r>
          </w:p>
          <w:p>
            <w:pPr>
              <w:spacing w:line="400" w:lineRule="exact"/>
              <w:ind w:firstLine="550" w:firstLineChars="200"/>
              <w:rPr>
                <w:rFonts w:ascii="黑体" w:hAnsi="黑体" w:eastAsia="黑体" w:cs="黑体"/>
                <w:bCs/>
                <w:sz w:val="28"/>
                <w:szCs w:val="28"/>
              </w:rPr>
            </w:pPr>
            <w:r>
              <w:rPr>
                <w:rFonts w:hint="eastAsia" w:ascii="黑体" w:hAnsi="黑体" w:eastAsia="黑体" w:cs="黑体"/>
                <w:bCs/>
                <w:sz w:val="28"/>
                <w:szCs w:val="28"/>
              </w:rPr>
              <w:t>三、单位专项组织实施情况</w:t>
            </w:r>
          </w:p>
          <w:p>
            <w:pPr>
              <w:spacing w:line="400" w:lineRule="exact"/>
              <w:ind w:firstLine="55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本年度没有专项支出</w:t>
            </w:r>
          </w:p>
          <w:p>
            <w:pPr>
              <w:numPr>
                <w:ilvl w:val="0"/>
                <w:numId w:val="3"/>
              </w:numPr>
              <w:spacing w:line="400" w:lineRule="exact"/>
              <w:ind w:firstLine="550" w:firstLineChars="200"/>
              <w:rPr>
                <w:rFonts w:ascii="黑体" w:hAnsi="黑体" w:eastAsia="黑体" w:cs="黑体"/>
                <w:bCs/>
                <w:sz w:val="28"/>
                <w:szCs w:val="28"/>
              </w:rPr>
            </w:pPr>
            <w:r>
              <w:rPr>
                <w:rFonts w:hint="eastAsia" w:ascii="黑体" w:hAnsi="黑体" w:eastAsia="黑体" w:cs="黑体"/>
                <w:bCs/>
                <w:sz w:val="28"/>
                <w:szCs w:val="28"/>
              </w:rPr>
              <w:t>单位整体支出绩效情况</w:t>
            </w:r>
          </w:p>
          <w:p>
            <w:pPr>
              <w:widowControl/>
              <w:snapToGrid w:val="0"/>
              <w:spacing w:line="560" w:lineRule="exact"/>
              <w:ind w:firstLine="550" w:firstLineChars="200"/>
              <w:rPr>
                <w:rFonts w:ascii="宋体" w:hAnsi="宋体" w:cs="宋体"/>
                <w:bCs/>
                <w:kern w:val="0"/>
                <w:szCs w:val="21"/>
              </w:rPr>
            </w:pPr>
            <w:r>
              <w:rPr>
                <w:rFonts w:hint="eastAsia" w:ascii="宋体" w:hAnsi="宋体" w:cs="宋体"/>
                <w:bCs/>
                <w:kern w:val="0"/>
                <w:sz w:val="28"/>
                <w:szCs w:val="28"/>
              </w:rPr>
              <w:t>2022年与2021年三公费比较情况：2022年三公经费与上年持平， 2022年度、2021年度均未发生因公出国（境）费用、2022年公务用车购置费用为17.8万元。</w:t>
            </w:r>
          </w:p>
          <w:p>
            <w:pPr>
              <w:spacing w:line="400" w:lineRule="exact"/>
              <w:rPr>
                <w:rFonts w:ascii="黑体" w:hAnsi="黑体" w:eastAsia="黑体" w:cs="黑体"/>
                <w:bCs/>
                <w:sz w:val="28"/>
                <w:szCs w:val="28"/>
              </w:rPr>
            </w:pPr>
          </w:p>
          <w:p>
            <w:pPr>
              <w:spacing w:line="400" w:lineRule="exact"/>
              <w:ind w:firstLine="55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600" w:lineRule="exact"/>
              <w:ind w:firstLine="55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1、医院占地面积狭小。医院现有占地面积约25亩，建筑面积约4万平方米，严重限制了医院的发展空间。</w:t>
            </w:r>
          </w:p>
          <w:p>
            <w:pPr>
              <w:pStyle w:val="16"/>
              <w:spacing w:line="600" w:lineRule="exact"/>
              <w:ind w:firstLine="548"/>
              <w:rPr>
                <w:rFonts w:cs="宋体" w:asciiTheme="minorEastAsia" w:hAnsiTheme="minorEastAsia" w:eastAsiaTheme="minorEastAsia"/>
                <w:kern w:val="0"/>
                <w:sz w:val="28"/>
                <w:szCs w:val="28"/>
              </w:rPr>
            </w:pPr>
            <w:r>
              <w:rPr>
                <w:rFonts w:hint="eastAsia" w:asciiTheme="minorEastAsia" w:hAnsiTheme="minorEastAsia" w:eastAsiaTheme="minorEastAsia"/>
                <w:sz w:val="28"/>
                <w:szCs w:val="28"/>
              </w:rPr>
              <w:t>2、政府投入不足，资金压力大。我院属于差额拨款单位，虽我院差额拨款几年都每有增加了，但我院现有编制人员230余人，聘用人员300余人，共有职工523人，按编制人员规定，</w:t>
            </w:r>
            <w:r>
              <w:rPr>
                <w:rFonts w:hint="eastAsia" w:asciiTheme="minorEastAsia" w:hAnsiTheme="minorEastAsia" w:eastAsiaTheme="minorEastAsia"/>
                <w:color w:val="2B2B2B"/>
                <w:sz w:val="28"/>
                <w:szCs w:val="28"/>
              </w:rPr>
              <w:t>人员经费拔付严重不足，</w:t>
            </w:r>
            <w:r>
              <w:rPr>
                <w:rFonts w:hint="eastAsia" w:cs="宋体" w:asciiTheme="minorEastAsia" w:hAnsiTheme="minorEastAsia" w:eastAsiaTheme="minorEastAsia"/>
                <w:kern w:val="0"/>
                <w:sz w:val="28"/>
                <w:szCs w:val="28"/>
              </w:rPr>
              <w:t>工资支付压力巨大</w:t>
            </w:r>
            <w:r>
              <w:rPr>
                <w:rFonts w:hint="eastAsia" w:asciiTheme="minorEastAsia" w:hAnsiTheme="minorEastAsia" w:eastAsiaTheme="minorEastAsia"/>
                <w:color w:val="2B2B2B"/>
                <w:sz w:val="28"/>
                <w:szCs w:val="28"/>
              </w:rPr>
              <w:t>。</w:t>
            </w:r>
          </w:p>
          <w:p>
            <w:pPr>
              <w:spacing w:line="600" w:lineRule="exact"/>
              <w:ind w:firstLine="550" w:firstLineChars="200"/>
              <w:rPr>
                <w:rFonts w:asciiTheme="minorEastAsia" w:hAnsiTheme="minorEastAsia" w:eastAsiaTheme="minorEastAsia"/>
                <w:sz w:val="28"/>
                <w:szCs w:val="28"/>
              </w:rPr>
            </w:pPr>
            <w:r>
              <w:rPr>
                <w:rFonts w:hint="eastAsia" w:cs="华文楷体" w:asciiTheme="minorEastAsia" w:hAnsiTheme="minorEastAsia" w:eastAsiaTheme="minorEastAsia"/>
                <w:bCs/>
                <w:sz w:val="28"/>
                <w:szCs w:val="28"/>
              </w:rPr>
              <w:t>3、要进一步</w:t>
            </w:r>
            <w:r>
              <w:rPr>
                <w:rFonts w:hint="eastAsia" w:asciiTheme="minorEastAsia" w:hAnsiTheme="minorEastAsia" w:eastAsiaTheme="minorEastAsia"/>
                <w:sz w:val="28"/>
                <w:szCs w:val="28"/>
              </w:rPr>
              <w:t>完善基础设施，优化就医环境，提升就医体验。</w:t>
            </w:r>
          </w:p>
          <w:p>
            <w:pPr>
              <w:spacing w:line="600" w:lineRule="exact"/>
              <w:ind w:firstLine="550" w:firstLineChars="200"/>
              <w:rPr>
                <w:rFonts w:asciiTheme="minorEastAsia" w:hAnsiTheme="minorEastAsia" w:eastAsiaTheme="minorEastAsia"/>
                <w:sz w:val="28"/>
                <w:szCs w:val="28"/>
              </w:rPr>
            </w:pPr>
            <w:r>
              <w:rPr>
                <w:rFonts w:hint="eastAsia" w:cs="华文楷体" w:asciiTheme="minorEastAsia" w:hAnsiTheme="minorEastAsia" w:eastAsiaTheme="minorEastAsia"/>
                <w:bCs/>
                <w:sz w:val="28"/>
                <w:szCs w:val="28"/>
              </w:rPr>
              <w:t>4、</w:t>
            </w:r>
            <w:r>
              <w:rPr>
                <w:rFonts w:hint="eastAsia" w:asciiTheme="minorEastAsia" w:hAnsiTheme="minorEastAsia" w:eastAsiaTheme="minorEastAsia"/>
                <w:sz w:val="28"/>
                <w:szCs w:val="28"/>
              </w:rPr>
              <w:t>要进一步突出专科特色，树立“品牌效应”，保持竞争处于领先地位。</w:t>
            </w:r>
          </w:p>
          <w:p>
            <w:pPr>
              <w:spacing w:line="600" w:lineRule="exact"/>
              <w:ind w:firstLine="55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5、要进一步对感染科进行改造，便于更好的承担公共卫生任务。</w:t>
            </w:r>
          </w:p>
          <w:p>
            <w:pPr>
              <w:spacing w:line="400" w:lineRule="exact"/>
              <w:ind w:firstLine="55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600" w:lineRule="exact"/>
              <w:ind w:firstLine="550" w:firstLineChars="200"/>
              <w:jc w:val="left"/>
              <w:rPr>
                <w:rFonts w:asciiTheme="minorEastAsia" w:hAnsiTheme="minorEastAsia" w:eastAsiaTheme="minorEastAsia"/>
                <w:sz w:val="28"/>
                <w:szCs w:val="28"/>
              </w:rPr>
            </w:pPr>
            <w:r>
              <w:rPr>
                <w:rFonts w:hint="eastAsia" w:cs="黑体" w:asciiTheme="minorEastAsia" w:hAnsiTheme="minorEastAsia" w:eastAsiaTheme="minorEastAsia"/>
                <w:bCs/>
                <w:sz w:val="28"/>
                <w:szCs w:val="28"/>
              </w:rPr>
              <w:t>1、</w:t>
            </w:r>
            <w:r>
              <w:rPr>
                <w:rFonts w:hint="eastAsia" w:asciiTheme="minorEastAsia" w:hAnsiTheme="minorEastAsia" w:eastAsiaTheme="minorEastAsia"/>
                <w:sz w:val="28"/>
                <w:szCs w:val="28"/>
              </w:rPr>
              <w:t>强化领导，明确职责。及时成立了医院医改领导小组，由院长黄锋任组长，分管领导李靖任副组长，成员包括各职能部门及财会、药械、设备等科室，为公立医院改革提供了坚实有力的组织保障。</w:t>
            </w:r>
          </w:p>
          <w:p>
            <w:pPr>
              <w:widowControl/>
              <w:shd w:val="clear" w:color="auto" w:fill="FFFFFF"/>
              <w:snapToGrid w:val="0"/>
              <w:spacing w:line="600" w:lineRule="exact"/>
              <w:ind w:firstLine="539" w:firstLineChars="196"/>
              <w:jc w:val="left"/>
              <w:rPr>
                <w:rFonts w:cs="仿宋" w:asciiTheme="minorEastAsia" w:hAnsiTheme="minorEastAsia" w:eastAsiaTheme="minorEastAsia"/>
                <w:sz w:val="28"/>
                <w:szCs w:val="28"/>
              </w:rPr>
            </w:pPr>
            <w:r>
              <w:rPr>
                <w:rFonts w:hint="eastAsia" w:cs="仿宋" w:asciiTheme="minorEastAsia" w:hAnsiTheme="minorEastAsia" w:eastAsiaTheme="minorEastAsia"/>
                <w:bCs/>
                <w:sz w:val="28"/>
                <w:szCs w:val="28"/>
              </w:rPr>
              <w:t>2、</w:t>
            </w:r>
            <w:r>
              <w:rPr>
                <w:rFonts w:hint="eastAsia" w:cs="仿宋" w:asciiTheme="minorEastAsia" w:hAnsiTheme="minorEastAsia" w:eastAsiaTheme="minorEastAsia"/>
                <w:sz w:val="28"/>
                <w:szCs w:val="28"/>
              </w:rPr>
              <w:t>完善质量管理体系</w:t>
            </w:r>
            <w:r>
              <w:rPr>
                <w:rFonts w:hint="eastAsia" w:cs="仿宋" w:asciiTheme="minorEastAsia" w:hAnsiTheme="minorEastAsia" w:eastAsiaTheme="minorEastAsia"/>
                <w:bCs/>
                <w:sz w:val="28"/>
                <w:szCs w:val="28"/>
              </w:rPr>
              <w:t>。</w:t>
            </w:r>
            <w:r>
              <w:rPr>
                <w:rFonts w:hint="eastAsia" w:cs="仿宋" w:asciiTheme="minorEastAsia" w:hAnsiTheme="minorEastAsia" w:eastAsiaTheme="minorEastAsia"/>
                <w:sz w:val="28"/>
                <w:szCs w:val="28"/>
              </w:rPr>
              <w:t>切实落实科主任是科室质量管理的第一责任人，医、药、技、护人员为医疗质量实施第一责任人的管理模式，成立科室质量管理与安全管理小组，以落实十八项医疗核心制度为抓手，全面提升医疗质量，建立了院、科两级环节质量检查制，每周进行核心制度督查、环节质量检查，限期整改。</w:t>
            </w:r>
          </w:p>
          <w:p>
            <w:pPr>
              <w:widowControl/>
              <w:shd w:val="clear" w:color="auto" w:fill="FFFFFF"/>
              <w:snapToGrid w:val="0"/>
              <w:spacing w:line="600" w:lineRule="exact"/>
              <w:ind w:firstLine="539" w:firstLineChars="196"/>
              <w:jc w:val="left"/>
              <w:rPr>
                <w:rFonts w:asciiTheme="minorEastAsia" w:hAnsiTheme="minorEastAsia" w:eastAsiaTheme="minorEastAsia"/>
                <w:b/>
                <w:sz w:val="28"/>
                <w:szCs w:val="28"/>
              </w:rPr>
            </w:pPr>
            <w:r>
              <w:rPr>
                <w:rFonts w:hint="eastAsia" w:asciiTheme="minorEastAsia" w:hAnsiTheme="minorEastAsia" w:eastAsiaTheme="minorEastAsia"/>
                <w:sz w:val="28"/>
                <w:szCs w:val="28"/>
              </w:rPr>
              <w:t>3、加强重点专科建设，展现学科发展新特色。2020年骨科成功申报为省级临床重点专科；妇产科和重症医学科成功申报为市级临床重点专科。</w:t>
            </w:r>
          </w:p>
          <w:p>
            <w:pPr>
              <w:spacing w:line="600" w:lineRule="exact"/>
              <w:ind w:firstLine="545"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4、完善基础建设，提升患者就医体验。一是因新冠疫情防控要求，对感染病房、发热门诊、发热门诊预检区域进行升级改造。二是对医院消防设施、道路标线、消防门、道闸系统、门诊围墙等进行整修升级，保障安全。三是对血透室、污水处理室墙面、地面、房间等硬件进行改造，改善就医环境。四是医院内外进行了绿化，为医院创造良好的绿化环境。</w:t>
            </w:r>
          </w:p>
          <w:p>
            <w:pPr>
              <w:ind w:firstLine="55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5、创新思路，加强财务管理和监督工作，查疏堵漏，把工作做深做细，加强财务收支监管力度，使医院资金能够合理有效的运转。</w:t>
            </w:r>
          </w:p>
          <w:p>
            <w:pPr>
              <w:ind w:firstLine="550" w:firstLineChars="200"/>
              <w:rPr>
                <w:rFonts w:eastAsia="楷体_GB2312"/>
                <w:bCs/>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我单位希望以后财政加大对县级公立医院的公共财政预算拨款及专项资金投入，我院会竭尽所能满足人们的需求。</w:t>
            </w:r>
          </w:p>
        </w:tc>
      </w:tr>
    </w:tbl>
    <w:p>
      <w:pPr>
        <w:adjustRightInd w:val="0"/>
        <w:snapToGrid w:val="0"/>
        <w:spacing w:line="360" w:lineRule="auto"/>
        <w:ind w:firstLine="550" w:firstLineChars="200"/>
        <w:rPr>
          <w:rFonts w:eastAsia="仿宋_GB2312"/>
          <w:bCs/>
          <w:sz w:val="32"/>
          <w:szCs w:val="32"/>
        </w:rPr>
      </w:pPr>
      <w:r>
        <w:rPr>
          <w:rFonts w:eastAsia="楷体_GB2312"/>
          <w:bCs/>
          <w:sz w:val="28"/>
          <w:szCs w:val="28"/>
        </w:rPr>
        <w:br w:type="page"/>
      </w:r>
      <w:bookmarkStart w:id="0" w:name="_GoBack"/>
      <w:bookmarkEnd w:id="0"/>
    </w:p>
    <w:p/>
    <w:sectPr>
      <w:footerReference r:id="rId5" w:type="default"/>
      <w:pgSz w:w="11906" w:h="16838"/>
      <w:pgMar w:top="1588" w:right="1361" w:bottom="1361" w:left="1531" w:header="851" w:footer="851"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- 15 -</w:t>
    </w:r>
    <w: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FE2F7"/>
    <w:multiLevelType w:val="singleLevel"/>
    <w:tmpl w:val="8B5FE2F7"/>
    <w:lvl w:ilvl="0" w:tentative="0">
      <w:start w:val="4"/>
      <w:numFmt w:val="chineseCounting"/>
      <w:suff w:val="nothing"/>
      <w:lvlText w:val="%1、"/>
      <w:lvlJc w:val="left"/>
      <w:rPr>
        <w:rFonts w:hint="eastAsia"/>
      </w:rPr>
    </w:lvl>
  </w:abstractNum>
  <w:abstractNum w:abstractNumId="1">
    <w:nsid w:val="09755758"/>
    <w:multiLevelType w:val="singleLevel"/>
    <w:tmpl w:val="09755758"/>
    <w:lvl w:ilvl="0" w:tentative="0">
      <w:start w:val="2"/>
      <w:numFmt w:val="chineseCounting"/>
      <w:suff w:val="nothing"/>
      <w:lvlText w:val="（%1）"/>
      <w:lvlJc w:val="left"/>
      <w:rPr>
        <w:rFonts w:hint="eastAsia"/>
      </w:rPr>
    </w:lvl>
  </w:abstractNum>
  <w:abstractNum w:abstractNumId="2">
    <w:nsid w:val="6A5DAEB5"/>
    <w:multiLevelType w:val="singleLevel"/>
    <w:tmpl w:val="6A5DAEB5"/>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xZDlkMmNjZWUxODgyOWU3ZGM1YTNiZTk5ZDEyNzEifQ=="/>
  </w:docVars>
  <w:rsids>
    <w:rsidRoot w:val="006A1F89"/>
    <w:rsid w:val="00177FED"/>
    <w:rsid w:val="00265E30"/>
    <w:rsid w:val="00606447"/>
    <w:rsid w:val="006827A2"/>
    <w:rsid w:val="006A1F89"/>
    <w:rsid w:val="007C7050"/>
    <w:rsid w:val="00A87921"/>
    <w:rsid w:val="00B17134"/>
    <w:rsid w:val="00B1722A"/>
    <w:rsid w:val="00BB5D39"/>
    <w:rsid w:val="00C70009"/>
    <w:rsid w:val="00D30551"/>
    <w:rsid w:val="00DF1FE3"/>
    <w:rsid w:val="00E30AB6"/>
    <w:rsid w:val="00E9287D"/>
    <w:rsid w:val="00EE4195"/>
    <w:rsid w:val="00EE682B"/>
    <w:rsid w:val="00F85013"/>
    <w:rsid w:val="00FA077B"/>
    <w:rsid w:val="78E4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0"/>
    <w:pPr>
      <w:keepNext/>
      <w:keepLines/>
      <w:spacing w:line="360" w:lineRule="auto"/>
      <w:ind w:firstLine="720" w:firstLineChars="200"/>
      <w:outlineLvl w:val="1"/>
    </w:pPr>
    <w:rPr>
      <w:rFonts w:ascii="Arial" w:hAnsi="Arial" w:eastAsia="黑体"/>
      <w:b/>
      <w:sz w:val="32"/>
    </w:rPr>
  </w:style>
  <w:style w:type="paragraph" w:styleId="3">
    <w:name w:val="heading 3"/>
    <w:basedOn w:val="1"/>
    <w:next w:val="1"/>
    <w:link w:val="14"/>
    <w:qFormat/>
    <w:uiPriority w:val="0"/>
    <w:pPr>
      <w:keepNext/>
      <w:keepLines/>
      <w:spacing w:line="360" w:lineRule="auto"/>
      <w:outlineLvl w:val="2"/>
    </w:pPr>
    <w:rPr>
      <w:rFonts w:eastAsia="楷体_GB2312"/>
      <w:b/>
      <w:kern w:val="0"/>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5"/>
    <w:uiPriority w:val="0"/>
    <w:pPr>
      <w:ind w:firstLine="588" w:firstLineChars="200"/>
    </w:pPr>
    <w:rPr>
      <w:rFonts w:ascii="仿宋_GB2312" w:eastAsia="仿宋_GB2312"/>
      <w:sz w:val="32"/>
    </w:rPr>
  </w:style>
  <w:style w:type="paragraph" w:styleId="5">
    <w:name w:val="footer"/>
    <w:basedOn w:val="1"/>
    <w:link w:val="12"/>
    <w:unhideWhenUsed/>
    <w:uiPriority w:val="0"/>
    <w:pPr>
      <w:tabs>
        <w:tab w:val="center" w:pos="4153"/>
        <w:tab w:val="right" w:pos="8306"/>
      </w:tabs>
      <w:snapToGrid w:val="0"/>
      <w:jc w:val="left"/>
    </w:pPr>
    <w:rPr>
      <w:sz w:val="18"/>
      <w:szCs w:val="18"/>
    </w:rPr>
  </w:style>
  <w:style w:type="paragraph" w:styleId="6">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page number"/>
    <w:basedOn w:val="9"/>
    <w:uiPriority w:val="0"/>
  </w:style>
  <w:style w:type="character" w:customStyle="1" w:styleId="11">
    <w:name w:val="页眉 Char"/>
    <w:basedOn w:val="9"/>
    <w:link w:val="6"/>
    <w:semiHidden/>
    <w:uiPriority w:val="99"/>
    <w:rPr>
      <w:sz w:val="18"/>
      <w:szCs w:val="18"/>
    </w:rPr>
  </w:style>
  <w:style w:type="character" w:customStyle="1" w:styleId="12">
    <w:name w:val="页脚 Char"/>
    <w:basedOn w:val="9"/>
    <w:link w:val="5"/>
    <w:semiHidden/>
    <w:uiPriority w:val="99"/>
    <w:rPr>
      <w:sz w:val="18"/>
      <w:szCs w:val="18"/>
    </w:rPr>
  </w:style>
  <w:style w:type="character" w:customStyle="1" w:styleId="13">
    <w:name w:val="标题 2 Char"/>
    <w:basedOn w:val="9"/>
    <w:link w:val="2"/>
    <w:uiPriority w:val="0"/>
    <w:rPr>
      <w:rFonts w:ascii="Arial" w:hAnsi="Arial" w:eastAsia="黑体" w:cs="Times New Roman"/>
      <w:b/>
      <w:sz w:val="32"/>
      <w:szCs w:val="24"/>
    </w:rPr>
  </w:style>
  <w:style w:type="character" w:customStyle="1" w:styleId="14">
    <w:name w:val="标题 3 Char"/>
    <w:basedOn w:val="9"/>
    <w:link w:val="3"/>
    <w:uiPriority w:val="0"/>
    <w:rPr>
      <w:rFonts w:ascii="Times New Roman" w:hAnsi="Times New Roman" w:eastAsia="楷体_GB2312" w:cs="Times New Roman"/>
      <w:b/>
      <w:kern w:val="0"/>
      <w:sz w:val="32"/>
      <w:szCs w:val="24"/>
    </w:rPr>
  </w:style>
  <w:style w:type="character" w:customStyle="1" w:styleId="15">
    <w:name w:val="正文文本缩进 2 Char"/>
    <w:basedOn w:val="9"/>
    <w:link w:val="4"/>
    <w:uiPriority w:val="0"/>
    <w:rPr>
      <w:rFonts w:ascii="仿宋_GB2312" w:hAnsi="Times New Roman" w:eastAsia="仿宋_GB2312" w:cs="Times New Roman"/>
      <w:sz w:val="32"/>
      <w:szCs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aa</Company>
  <Pages>13</Pages>
  <Words>851</Words>
  <Characters>4854</Characters>
  <Lines>40</Lines>
  <Paragraphs>11</Paragraphs>
  <TotalTime>64</TotalTime>
  <ScaleCrop>false</ScaleCrop>
  <LinksUpToDate>false</LinksUpToDate>
  <CharactersWithSpaces>5694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2021-05-31T07:35:00Z</dcterms:created>
  <dc:creator>aa</dc:creator>
  <cp:lastModifiedBy>纯haha</cp:lastModifiedBy>
  <dcterms:modified xsi:type="dcterms:W3CDTF">2023-12-07T07:06:20Z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3D5072676EF044A3BB8ABE1A48E3F5AE_12</vt:lpwstr>
  </property>
</Properties>
</file>