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靖州</w:t>
      </w:r>
      <w:r>
        <w:rPr>
          <w:rFonts w:hint="eastAsia" w:eastAsia="方正小标宋简体"/>
          <w:bCs/>
          <w:sz w:val="46"/>
          <w:szCs w:val="46"/>
          <w:lang w:eastAsia="zh-CN"/>
        </w:rPr>
        <w:t>县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2022</w:t>
      </w:r>
      <w:r>
        <w:rPr>
          <w:rFonts w:hint="eastAsia" w:eastAsia="方正小标宋简体"/>
          <w:bCs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靖州县疾病预防控制中心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u w:val="single"/>
        </w:rPr>
        <w:t xml:space="preserve">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预算编码</w:t>
      </w:r>
      <w:r>
        <w:rPr>
          <w:rFonts w:hint="eastAsia" w:eastAsia="仿宋_GB2312"/>
          <w:sz w:val="32"/>
          <w:u w:val="single"/>
        </w:rPr>
        <w:t xml:space="preserve">        5</w:t>
      </w:r>
      <w:r>
        <w:rPr>
          <w:rFonts w:hint="eastAsia" w:eastAsia="仿宋_GB2312"/>
          <w:sz w:val="32"/>
          <w:u w:val="single"/>
          <w:lang w:val="en-US" w:eastAsia="zh-CN"/>
        </w:rPr>
        <w:t>03005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靖州县财政</w:t>
      </w:r>
      <w:r>
        <w:rPr>
          <w:rFonts w:hint="eastAsia" w:eastAsia="仿宋_GB2312"/>
          <w:sz w:val="32"/>
          <w:szCs w:val="32"/>
        </w:rPr>
        <w:t>局（制）</w:t>
      </w:r>
      <w:bookmarkStart w:id="0" w:name="_GoBack"/>
      <w:bookmarkEnd w:id="0"/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361" w:bottom="1361" w:left="1587" w:header="851" w:footer="992" w:gutter="0"/>
          <w:pgNumType w:fmt="numberInDash" w:start="1"/>
          <w:cols w:space="720" w:num="1"/>
          <w:docGrid w:type="linesAndChars" w:linePitch="602" w:charSpace="-782"/>
        </w:sectPr>
      </w:pPr>
    </w:p>
    <w:tbl>
      <w:tblPr>
        <w:tblStyle w:val="5"/>
        <w:tblW w:w="96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682"/>
        <w:gridCol w:w="57"/>
        <w:gridCol w:w="333"/>
        <w:gridCol w:w="720"/>
        <w:gridCol w:w="280"/>
        <w:gridCol w:w="1072"/>
        <w:gridCol w:w="412"/>
        <w:gridCol w:w="243"/>
        <w:gridCol w:w="24"/>
        <w:gridCol w:w="454"/>
        <w:gridCol w:w="481"/>
        <w:gridCol w:w="343"/>
        <w:gridCol w:w="103"/>
        <w:gridCol w:w="412"/>
        <w:gridCol w:w="7"/>
        <w:gridCol w:w="508"/>
        <w:gridCol w:w="41"/>
        <w:gridCol w:w="165"/>
        <w:gridCol w:w="261"/>
        <w:gridCol w:w="460"/>
        <w:gridCol w:w="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刘倩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8133253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7779" w:type="dxa"/>
            <w:gridSpan w:val="21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全县疾病预防控制工作的管理和落实；负责辖区内疫苗使用管理，组织实施免疫、消毒、控制病媒生物的危害；负责突发公共卫生事件的监测调查与信息收集、报告，落实具体控制措施；开展病原微生物常规检验和常见污染物的检验；承担卫生行政部门委托的与卫生监督执法相关的检验检测任务；指导县直医疗机构和乡(镇)卫生院开展卫生防病工作，负责考核和评价，对从事疾病预防控制相关工作的人员进行培训；职业病危害因素监测与评价；负责疫情和公共卫生健康危害因素监测、报告，指导乡、村和有关部门收集、报告疫情；开展卫生宣传教育与健康促进活动，普及卫生防病知识；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完成上级下达的疾病预防控制任务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7779" w:type="dxa"/>
            <w:gridSpan w:val="21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进一步加强传染病的监测与报告工作。认真落实疫情网络直报，实行疫情动态监测预警。加大霍乱、手足口病、人感染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H7N9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禽流感、狂犬病等重大传染病监测，严防重大传染病的暴发流行。扎实开展疟疾防控工作及卫生应急工作。扩大免疫规划政策进一步得到落实，免疫规划疫苗接种率维持在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95%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以上。进一步扩大艾滋病筛查检测力度，扎实开展艾滋病工作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扎实开展预防性健康体检工作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进一步加强结核病防治、健康教育、卫生监测、慢病、地方病、美沙酮维持治疗等工作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扎实做好新冠肺炎疫情防控工作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7779" w:type="dxa"/>
            <w:gridSpan w:val="21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新冠疫情防控：截止目前累计出动机动队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1月1日至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日，累计出动流调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（密接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人、次密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人、红码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阳性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62人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、涉疫应急事件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学校疫情处理23起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），流调关联人员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5682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进一步加强核酸检测能力建设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截止12月累计全县共开展核酸检测197956人次。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扎实开展霍乱弧菌内和外环境检索工作和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艾滋病、性病、丙肝、麻风病等日常监测管理，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辖区内管理的HIV/AIDS 人员CD4细胞监测率97.69%，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2022年，辖区区管理的HIV/AIDS 8人CD4细胞监测率为97.69%；病人病毒载量检测率为98.53%；配偶检测率为100.00%；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县免疫规划适龄儿童建证率达到100%,建卡率100%,扩大免疫规划疫苗接种率维持在95%以上。居民健康档案建档数244313份，建档率为104.59%，65岁以上老年人健康管理21477人，管理率75.76%。高血压病人规范管理人数11427人，规范管理率76.45%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采集农村饮用水样品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份进行水质卫生监测，经检测：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份监测样品检测结果符合《生活饮用水卫生标准》（GB5749—2006）》，样品检测结果总合格率为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%，饮用合格水人口比例为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40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4091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3491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598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133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133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4091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1350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719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631</w:t>
            </w: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2741</w:t>
            </w: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40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25.18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1.2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17.98</w:t>
            </w: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4877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2163" w:type="dxa"/>
            <w:gridSpan w:val="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179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2163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9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1447</w:t>
            </w: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1447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3980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进一步加强传染病的监测与报告工作。认真落实疫情网络直报，实行疫情动态监测预警。加大霍乱、手足口病、人感染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H7N9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禽流感、狂犬病等重大传染病监测，严防重大传染病的暴发流行。扎实开展疟疾防控工作及卫生应急工作。扩大免疫规划政策进一步得到落实，免疫规划疫苗接种率维持在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95%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以上。进一步扩大艾滋病筛查检测力度，扎实开展艾滋病工作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扎实开展预防性健康体检工作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进一步加强结核病防治、健康教育、卫生监测、慢病、地方病、美沙酮维持治疗等工作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扎实做好新冠肺炎疫情防控工作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</w:p>
        </w:tc>
        <w:tc>
          <w:tcPr>
            <w:tcW w:w="398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新冠疫情防控：截止目前累计出动机动队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1月1日至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日，累计出动流调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（密接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人、次密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人、红码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阳性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62人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、涉疫应急事件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学校疫情处理23起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），流调关联人员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5682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进一步加强核酸检测能力建设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截止12月累计全县共开展核酸检测197956人次。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扎实开展霍乱弧菌内和外环境检索工作和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艾滋病、性病、丙肝、麻风病等日常监测管理，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辖区内管理的HIV/AIDS 人员CD4细胞监测率97.69%，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2022年，辖区区管理的HIV/AIDS 8人CD4细胞监测率为97.69%；病人病毒载量检测率为98.53%；配偶检测率为100.00%；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县免疫规划适龄儿童建证率达到100%,建卡率100%,扩大免疫规划疫苗接种率维持在95%以上。居民健康档案建档数244313份，建档率为104.59%，65岁以上老年人健康管理21477人，管理率75.76%。高血压病人规范管理人数11427人，规范管理率76.45%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采集农村饮用水样品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份进行水质卫生监测，经检测：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份监测样品检测结果符合《生活饮用水卫生标准》（GB5749—2006）》，样品检测结果总合格率为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%，饮用合格水人口比例为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目标及实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施计划完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成情况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一级指标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二级指标</w:t>
            </w: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三级指标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指标值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产出指标</w:t>
            </w: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县免疫规划适龄儿童建证率达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HIV/AIDS 人员CD4细胞监测率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97.69%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饮用合格水人口比例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质量指标</w:t>
            </w: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指标1：艾滋病免费抗病毒治疗任务完成率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90%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指标2：发现并治疗管理肺结核患者数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指标4：免疫规划疫苗接种率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95%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时效指标</w:t>
            </w: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指标1：艾滋病工作执行时间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均为延续性工作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均为延续性工作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：结核病工作执行时间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均为延续性工作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均为延续性工作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：免疫规划工作执行时间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均为延续性工作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均为延续性工作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成本指标</w:t>
            </w: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公务接待费控制数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widowControl/>
              <w:tabs>
                <w:tab w:val="center" w:pos="981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6.32万元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公务用车运行维护费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7.2万元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年度预算支出控制数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593.98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万元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4091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经济效益指标</w:t>
            </w:r>
          </w:p>
        </w:tc>
        <w:tc>
          <w:tcPr>
            <w:tcW w:w="296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疫苗冷链运输费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9.5元/针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9.5元/针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社会效益指标</w:t>
            </w:r>
          </w:p>
        </w:tc>
        <w:tc>
          <w:tcPr>
            <w:tcW w:w="296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严防突发公共卫生事件的发生，完善突发公共卫生事件应急体系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长期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生态效益指标</w:t>
            </w:r>
          </w:p>
        </w:tc>
        <w:tc>
          <w:tcPr>
            <w:tcW w:w="2966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保障人民群众健康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长期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可持续影响指标</w:t>
            </w:r>
          </w:p>
        </w:tc>
        <w:tc>
          <w:tcPr>
            <w:tcW w:w="296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做好公共卫生监控管理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长期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满意度指标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96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服务对象满意度指标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7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70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2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70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申群慧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疾控中心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刘顺成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工会主席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疾控中心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李长松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纪检员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疾控中心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95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5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75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年 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刘倩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8233153</w:t>
      </w:r>
    </w:p>
    <w:tbl>
      <w:tblPr>
        <w:tblStyle w:val="5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2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一、单位概况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（一）单位基本情况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全县疾病预防控制工作的管理和落实；负责辖区内疫苗使用管理，组织实施免疫、消毒、控制病媒生物的危害；负责突发公共卫生事件的监测调查与信息收集、报告，落实具体控制措施；开展病原微生物常规检验和常见污染物的检验；承担卫生行政部门委托的与卫生监督执法相关的检验检测任务；指导县直医疗机构和乡(镇)卫生院开展卫生防病工作，负责考核和评价，对从事疾病预防控制相关工作的人员进行培训；职业病危害因素监测与评价；负责疫情和公共卫生健康危害因素监测、报告，指导乡、村和有关部门收集、报告疫情；开展卫生宣传教育与健康促进活动，普及卫生防病知识；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完成上级下达的疾病预防控制任务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单位内设机构设置。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内设9个职能科室：办公室（人事科）、财务科（含后勤保障科）、急性传染病预防控制科（应急办、质管科）、免疫规划科、地寄慢病科（卫生监测科、公卫科）、健教科（宣传中心）、性艾结核体检科、检验科、美沙酮门诊。</w:t>
            </w:r>
          </w:p>
          <w:p>
            <w:pPr>
              <w:widowControl/>
              <w:shd w:val="clear" w:color="auto" w:fill="FFFFFF"/>
              <w:spacing w:line="40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年12月止疾控中心人员编制数4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人，单位在职职工4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人（其中财政补助3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人，自收自支3人），退休职工2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（二）部门（单位）整体支出情况说明</w:t>
            </w:r>
          </w:p>
          <w:p>
            <w:pPr>
              <w:pStyle w:val="2"/>
              <w:spacing w:line="400" w:lineRule="exact"/>
              <w:ind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年度支出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4091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万元，其中：基本支出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1350万元，项目支出2741万元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二、单位整体支出管理及使用情况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一）基本支出1350万元，其中人员支出719万元，公用支出631万元。</w:t>
            </w:r>
          </w:p>
          <w:p>
            <w:pPr>
              <w:autoSpaceDN w:val="0"/>
              <w:spacing w:line="40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主要用于：人员工资福利及社保支出，日常办公用及接待车辆运行费。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（二）专项支出</w:t>
            </w:r>
          </w:p>
          <w:p>
            <w:pPr>
              <w:spacing w:line="400" w:lineRule="exact"/>
              <w:ind w:firstLine="48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1、专项支出2741万元，其中人员支出147万元，公用支出1299万元，资本支出1295万元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2、专项资金实际使用情况：2022年疾病控制125万元，基本公卫支出53万元、重大公卫支出53万元、其他公卫支出（新冠）2510万元。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3、专项资金管理情况分析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主要用于：传染病防控能力建设、卫生应急工作、基础免疫、艾滋病、性病、麻风病防治工作、结核病防控工作、卫生监测、统筹推进健教、慢病、地方病、儿童青少年近视综合防控和预防性健康体检工作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三、单位专项组织实施情况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、新冠疫情防控：截止目前累计出动机动队1月1日至12月21日，累计出动流调607组（密接597人、次密709人、红码1154人、阳性62人、涉疫应急事件5件、学校疫情处理23起），流调关联人员5682人。进一步加强核酸检测能力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截止12月累计全县共开展核酸检测197956人次。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2、扎实开展霍乱弧菌内和外环境检索工作和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eastAsia="zh-CN" w:bidi="ar-SA"/>
              </w:rPr>
              <w:t>艾滋病、性病、丙肝、麻风病等日常监测管理，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辖区内管理的HIV/AIDS 人员CD4细胞监测率97.69%，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3、2022年，辖区区管理的HIV/AIDS 8人CD4细胞监测率为97.69%；病人病毒载量检测率为98.53%；配偶检测率为100.00%；全县免疫规划适龄儿童建证率达到100%,建卡率100%,扩大免疫规划疫苗接种率维持在95%以上。居民健康档案建档数244313份，建档率为104.59%，65岁以上老年人健康管理21477人，管理率75.76%。高血压病人规范管理人数11427人，规范管理率76.45%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4、2022年共采集农村饮用水样品779份进行水质卫生监测，经检测：779份监测样品检测结果符合《生活饮用水卫生标准》（GB5749—2006）》，样品检测结果总合格率为100%，饮用合格水人口比例为100%。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单位整体支出绩效情况</w:t>
            </w:r>
          </w:p>
          <w:p>
            <w:pPr>
              <w:pStyle w:val="2"/>
              <w:spacing w:line="400" w:lineRule="exact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年度支出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4091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万元，其中：基本支出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1350万元，其中人员支出719元，公用支出631元；项目支出2741万元</w:t>
            </w:r>
            <w:r>
              <w:rPr>
                <w:rFonts w:hint="eastAsia" w:ascii="仿宋_GB2312" w:hAnsi="仿宋_GB2312" w:eastAsia="仿宋_GB2312" w:cs="仿宋_GB2312"/>
                <w:kern w:val="2"/>
                <w:lang w:eastAsia="zh-CN"/>
              </w:rPr>
              <w:t>，其中人员支出14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lang w:eastAsia="zh-CN"/>
              </w:rPr>
              <w:t>万元，公用支出1299万元，资本支出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1295万元。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1．未能及时做好往来款项的清理工作 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2．需要加强对固定资产的管理。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3．需要加强日常财务收支管理 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pStyle w:val="2"/>
              <w:ind w:firstLine="48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应做到①控制往来款的资金额度。②缩短往来款的占用时间。③及时对往来款进行清理、结算。定期对固定资产登记和清查，并与使用部门进行核对，确保帐实相符。制定出相应的改进措施，确保固定资产的安全和完整。应对财务收支严格按财务制度办理，确保财务数字的准确性，最大程度的提高资金的使用效益，达到增收节支的目的。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- 15 -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63D54"/>
    <w:multiLevelType w:val="singleLevel"/>
    <w:tmpl w:val="DE463D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zQ3ZjZkYzE1YzlmNGMyZDQzMzE4OWUwMTA4OTYifQ=="/>
  </w:docVars>
  <w:rsids>
    <w:rsidRoot w:val="32EA4978"/>
    <w:rsid w:val="08B46E9B"/>
    <w:rsid w:val="0E4276AC"/>
    <w:rsid w:val="148B46C1"/>
    <w:rsid w:val="198D51BE"/>
    <w:rsid w:val="1F38650F"/>
    <w:rsid w:val="25C603D0"/>
    <w:rsid w:val="27412BD0"/>
    <w:rsid w:val="285F4B0C"/>
    <w:rsid w:val="31557F62"/>
    <w:rsid w:val="32C00E7B"/>
    <w:rsid w:val="32EA4978"/>
    <w:rsid w:val="34A22009"/>
    <w:rsid w:val="360D1DBF"/>
    <w:rsid w:val="3D907D79"/>
    <w:rsid w:val="41C470B8"/>
    <w:rsid w:val="435C5C87"/>
    <w:rsid w:val="48E148B4"/>
    <w:rsid w:val="523B0D32"/>
    <w:rsid w:val="523C588C"/>
    <w:rsid w:val="67AE693B"/>
    <w:rsid w:val="6874311C"/>
    <w:rsid w:val="69C33672"/>
    <w:rsid w:val="77FA7268"/>
    <w:rsid w:val="7C030157"/>
    <w:rsid w:val="7E4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4106</Words>
  <Characters>4702</Characters>
  <Lines>0</Lines>
  <Paragraphs>0</Paragraphs>
  <TotalTime>8</TotalTime>
  <ScaleCrop>false</ScaleCrop>
  <LinksUpToDate>false</LinksUpToDate>
  <CharactersWithSpaces>5093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2023-02-10T07:35:00Z</dcterms:created>
  <dc:creator>Administrator</dc:creator>
  <cp:lastModifiedBy>Administrator</cp:lastModifiedBy>
  <cp:lastPrinted>2023-02-13T02:57:07Z</cp:lastPrinted>
  <dcterms:modified xsi:type="dcterms:W3CDTF">2023-02-13T02:57:57Z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6881309CB4984838ABA5D266CD36C6D4</vt:lpwstr>
  </property>
</Properties>
</file>