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部门整体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支出</w:t>
      </w:r>
      <w:r>
        <w:rPr>
          <w:rFonts w:hint="eastAsia" w:ascii="方正小标宋简体" w:eastAsia="方正小标宋简体"/>
          <w:sz w:val="36"/>
          <w:szCs w:val="36"/>
        </w:rPr>
        <w:t>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87"/>
        <w:gridCol w:w="687"/>
        <w:gridCol w:w="416"/>
        <w:gridCol w:w="420"/>
        <w:gridCol w:w="264"/>
        <w:gridCol w:w="972"/>
        <w:gridCol w:w="600"/>
        <w:gridCol w:w="86"/>
        <w:gridCol w:w="1007"/>
        <w:gridCol w:w="86"/>
        <w:gridCol w:w="402"/>
        <w:gridCol w:w="198"/>
        <w:gridCol w:w="86"/>
        <w:gridCol w:w="861"/>
        <w:gridCol w:w="115"/>
        <w:gridCol w:w="446"/>
        <w:gridCol w:w="519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部门基本信息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639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中共靖州苗族侗族自治县委巡察工作领导小组办公室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编制人数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实有人数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单位预算绩效管理联系人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吴祥云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部门（单位）职能概述</w:t>
            </w:r>
          </w:p>
        </w:tc>
        <w:tc>
          <w:tcPr>
            <w:tcW w:w="6391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传达贯彻中央、省委和市委有关巡视巡察工作精神和县委、县委巡察工作领导小组的决策和部署；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负责县委巡察机构机关的日常管理工作；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承担县委巡察工作政策研究、制度建设、信息工作和新闻宣传等工作；统筹、协调、指导县委巡察组开展工作；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lang w:eastAsia="zh-CN"/>
              </w:rPr>
              <w:t>配合有关部门对巡察工作人员进行培训、调配、考核、管理和监督；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督促检查上级巡视组、巡察组和县委巡察组反馈意见的整改落实工作；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lang w:eastAsia="zh-CN"/>
              </w:rPr>
              <w:t>办理市委巡察办、县委和县委巡察工作领导小组交办的其他事项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年度收入预算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年度支出预算</w:t>
            </w:r>
          </w:p>
        </w:tc>
        <w:tc>
          <w:tcPr>
            <w:tcW w:w="34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三公经费预算支出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财政拨款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非税收入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其他收入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收入合计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支出合计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公务接待数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公务用车运行和购置费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因公出国（境）费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242.03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187.33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54.7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242.03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部门整体支出绩效目标</w:t>
            </w:r>
          </w:p>
        </w:tc>
        <w:tc>
          <w:tcPr>
            <w:tcW w:w="860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党内监督，实施全面从严治党，围绕党的政治建设、思想建设、组织建设治建设、作风建设、纪律建设、制度建设和深入推进反腐败斗争等方面，深入开展监督检查，采取有力措施解决党组织软弱涣散、机关党委作用虚化、党员干部管理松散等突出问题，切实增强各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党组织的创造力凝聚力战斗力，不断夯实党执政的政治基础。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部门整体支出年度绩效目标</w:t>
            </w:r>
          </w:p>
        </w:tc>
        <w:tc>
          <w:tcPr>
            <w:tcW w:w="68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基本经费</w:t>
            </w:r>
          </w:p>
        </w:tc>
        <w:tc>
          <w:tcPr>
            <w:tcW w:w="152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指标内容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产出指标</w:t>
            </w:r>
          </w:p>
        </w:tc>
        <w:tc>
          <w:tcPr>
            <w:tcW w:w="183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进行巡察党组织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个数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=8个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重点工作任务完成率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工资福利发放率、社保缴纳率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保障单位各项工作正常开展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时效</w:t>
            </w:r>
            <w:r>
              <w:rPr>
                <w:rFonts w:hint="eastAsia"/>
              </w:rPr>
              <w:t>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工作按期完成及时率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工资福利支出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商品和服务支出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23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产出指标</w:t>
            </w: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巡察批数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≥3轮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专项巡察完成率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时效</w:t>
            </w:r>
            <w:r>
              <w:rPr>
                <w:rFonts w:hint="eastAsia"/>
              </w:rPr>
              <w:t>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完成及时性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2022年12月底之前完成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年度项目经费总额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54.7万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项目支出成本节约率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≥0%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效益指标</w:t>
            </w: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违规资金上缴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95%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各级党组织的创造力凝聚力战斗力不断增强，不断夯实党执政的政治基础。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长期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生态</w:t>
            </w:r>
            <w:r>
              <w:rPr>
                <w:rFonts w:hint="eastAsia"/>
              </w:rPr>
              <w:t>效益指标</w:t>
            </w: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不适用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不适用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77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统筹发展与安全，有效防范化解各类风险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成效明显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满意度指标</w:t>
            </w:r>
          </w:p>
        </w:tc>
        <w:tc>
          <w:tcPr>
            <w:tcW w:w="1836" w:type="dxa"/>
            <w:gridSpan w:val="3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社会满意、党员干部满意度</w:t>
            </w:r>
          </w:p>
        </w:tc>
        <w:tc>
          <w:tcPr>
            <w:tcW w:w="150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95%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8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财政部门审核意见</w:t>
            </w:r>
          </w:p>
        </w:tc>
        <w:tc>
          <w:tcPr>
            <w:tcW w:w="8601" w:type="dxa"/>
            <w:gridSpan w:val="1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（ 盖  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年     月     日</w:t>
            </w:r>
          </w:p>
        </w:tc>
      </w:tr>
    </w:tbl>
    <w:p>
      <w:pPr>
        <w:ind w:firstLine="21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填报人：  </w:t>
      </w:r>
      <w:r>
        <w:rPr>
          <w:rFonts w:hint="eastAsia"/>
          <w:lang w:eastAsia="zh-CN"/>
        </w:rPr>
        <w:t>吴祥云</w:t>
      </w:r>
      <w:r>
        <w:rPr>
          <w:rFonts w:hint="eastAsia"/>
        </w:rPr>
        <w:t xml:space="preserve">                  联系电话：     填报日期</w:t>
      </w:r>
      <w:r>
        <w:rPr>
          <w:rFonts w:hint="eastAsia"/>
          <w:lang w:val="en-US" w:eastAsia="zh-CN"/>
        </w:rPr>
        <w:t>2022.3.24</w:t>
      </w:r>
    </w:p>
    <w:p/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zAxZDhmMWZiMjdlZDAxYWJlMjk1Mjk4ZjlhODEifQ=="/>
  </w:docVars>
  <w:rsids>
    <w:rsidRoot w:val="71130FDC"/>
    <w:rsid w:val="711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980</Characters>
  <Lines>0</Lines>
  <Paragraphs>0</Paragraphs>
  <TotalTime>0</TotalTime>
  <ScaleCrop>false</ScaleCrop>
  <LinksUpToDate>false</LinksUpToDate>
  <CharactersWithSpaces>1144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2022-09-20T08:00:00Z</dcterms:created>
  <dc:creator>Tangyp</dc:creator>
  <cp:lastModifiedBy>Tangyp</cp:lastModifiedBy>
  <dcterms:modified xsi:type="dcterms:W3CDTF">2022-09-20T08:01:31Z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3A4A8E1E761C409C92E4EFBAD8BB9537</vt:lpwstr>
  </property>
</Properties>
</file>