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hint="eastAsia" w:ascii="方正大标宋简体" w:hAnsi="宋体" w:eastAsia="方正大标宋简体" w:cs="宋体"/>
          <w:kern w:val="0"/>
          <w:sz w:val="36"/>
          <w:szCs w:val="36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大标宋简体" w:hAnsi="宋体" w:eastAsia="方正大标宋简体" w:cs="宋体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靖州县财政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  <w:lang w:eastAsia="zh-CN"/>
        </w:rPr>
        <w:t>专项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支出项目预算绩效目标申报表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大标宋简体" w:hAnsi="宋体" w:eastAsia="方正大标宋简体" w:cs="宋体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（202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年度）</w:t>
      </w:r>
    </w:p>
    <w:p>
      <w:pPr>
        <w:widowControl/>
        <w:shd w:val="clear" w:color="auto" w:fill="FFFFFF"/>
        <w:spacing w:line="500" w:lineRule="exac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cs="宋体"/>
          <w:b/>
          <w:kern w:val="0"/>
          <w:sz w:val="28"/>
          <w:szCs w:val="28"/>
        </w:rPr>
        <w:t>填报单位（盖章）：</w:t>
      </w:r>
      <w:r>
        <w:rPr>
          <w:rFonts w:hint="eastAsia" w:cs="宋体"/>
          <w:b/>
          <w:kern w:val="0"/>
          <w:sz w:val="28"/>
          <w:szCs w:val="28"/>
          <w:lang w:eastAsia="zh-CN"/>
        </w:rPr>
        <w:t>县委组织部</w:t>
      </w:r>
    </w:p>
    <w:tbl>
      <w:tblPr>
        <w:tblStyle w:val="6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83"/>
        <w:gridCol w:w="1457"/>
        <w:gridCol w:w="306"/>
        <w:gridCol w:w="535"/>
        <w:gridCol w:w="675"/>
        <w:gridCol w:w="1097"/>
        <w:gridCol w:w="306"/>
        <w:gridCol w:w="473"/>
        <w:gridCol w:w="562"/>
        <w:gridCol w:w="306"/>
        <w:gridCol w:w="579"/>
        <w:gridCol w:w="399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1"/>
                <w:szCs w:val="21"/>
              </w:rPr>
              <w:t>专项名称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　　</w:t>
            </w:r>
            <w:r>
              <w:rPr>
                <w:rFonts w:hint="eastAsia" w:hAnsi="宋体" w:cs="宋体"/>
                <w:kern w:val="0"/>
                <w:sz w:val="21"/>
                <w:szCs w:val="21"/>
                <w:lang w:eastAsia="zh-CN"/>
              </w:rPr>
              <w:t>人才工作开发及引进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3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新增项目</w:t>
            </w:r>
            <w:r>
              <w:rPr>
                <w:kern w:val="0"/>
                <w:sz w:val="21"/>
                <w:szCs w:val="21"/>
              </w:rPr>
              <w:t xml:space="preserve"> □        </w:t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>延续项目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√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1"/>
                <w:szCs w:val="21"/>
              </w:rPr>
              <w:t>部门名称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县委组织部</w:t>
            </w:r>
            <w:r>
              <w:rPr>
                <w:rFonts w:hint="eastAsia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1"/>
                <w:szCs w:val="21"/>
              </w:rPr>
              <w:t>资金总额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3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500万元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部门相应职能职责概述</w:t>
            </w:r>
          </w:p>
        </w:tc>
        <w:tc>
          <w:tcPr>
            <w:tcW w:w="77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大人才引进、盘活、培养和使用的力度，着力开发人才资源，提升各类人才的能力素质，全面促进各级人才为经济建设服务，努力创造人才智力“柔性”流动体制，实现人才资源优化配置，建设一支结构合理、素质优良的人才队伍，为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</w:t>
            </w:r>
            <w:r>
              <w:rPr>
                <w:rFonts w:ascii="宋体" w:hAnsi="宋体" w:eastAsia="宋体" w:cs="宋体"/>
                <w:sz w:val="21"/>
                <w:szCs w:val="21"/>
              </w:rPr>
              <w:t>经济社会发展提供坚强的智力支持和人才保证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依据</w:t>
            </w:r>
          </w:p>
        </w:tc>
        <w:tc>
          <w:tcPr>
            <w:tcW w:w="77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1"/>
                <w:szCs w:val="21"/>
              </w:rPr>
              <w:t>专项实施进度计划及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专项实施内容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计划开始时间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 w:cs="宋体"/>
                <w:kern w:val="0"/>
                <w:sz w:val="21"/>
                <w:szCs w:val="21"/>
              </w:rPr>
              <w:t>、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2022.1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2022.12</w:t>
            </w:r>
            <w:r>
              <w:rPr>
                <w:rFonts w:hint="eastAsia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 w:cs="宋体"/>
                <w:kern w:val="0"/>
                <w:sz w:val="21"/>
                <w:szCs w:val="21"/>
              </w:rPr>
              <w:t>、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315" w:firstLineChars="150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Ansi="宋体" w:eastAsia="黑体" w:cs="宋体"/>
                <w:kern w:val="0"/>
                <w:sz w:val="21"/>
                <w:szCs w:val="21"/>
              </w:rPr>
              <w:t>………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1"/>
                <w:szCs w:val="21"/>
              </w:rPr>
              <w:t>专项长期绩效目标</w:t>
            </w:r>
          </w:p>
        </w:tc>
        <w:tc>
          <w:tcPr>
            <w:tcW w:w="77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eastAsia="zh-CN"/>
              </w:rPr>
              <w:t>引进高层次人才，</w:t>
            </w:r>
            <w:r>
              <w:rPr>
                <w:sz w:val="21"/>
                <w:szCs w:val="21"/>
              </w:rPr>
              <w:t>为县域经济加快发展提供坚实的人才支撑和智力保障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1"/>
                <w:szCs w:val="21"/>
              </w:rPr>
              <w:t>专项年度绩效目标</w:t>
            </w:r>
          </w:p>
        </w:tc>
        <w:tc>
          <w:tcPr>
            <w:tcW w:w="77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大人才引进、盘活、培养和使用的力度，着力开发人才资源，提升各类人才的能力素质，全面促进各级人才为经济建设服务，努力创造人才智力“柔性”流动体制，实现人才资源优化配置，建设一支结构合理、素质优良的人才队伍，为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</w:t>
            </w:r>
            <w:r>
              <w:rPr>
                <w:rFonts w:ascii="宋体" w:hAnsi="宋体" w:eastAsia="宋体" w:cs="宋体"/>
                <w:sz w:val="21"/>
                <w:szCs w:val="21"/>
              </w:rPr>
              <w:t>经济社会发展提供坚强的智力支持和人才保证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1"/>
                <w:szCs w:val="21"/>
              </w:rPr>
              <w:t>资金使用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1"/>
                <w:szCs w:val="21"/>
              </w:rPr>
              <w:t>计划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总资金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第一季度</w:t>
            </w:r>
          </w:p>
        </w:tc>
        <w:tc>
          <w:tcPr>
            <w:tcW w:w="1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第二季度</w:t>
            </w: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第三季度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eastAsia="zh-CN"/>
              </w:rPr>
              <w:t>人才工作开发及引进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1"/>
                <w:szCs w:val="21"/>
              </w:rPr>
              <w:t>专项年度绩效指标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指标内容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人才引进人员数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≥14人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引进人才比率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完成及时性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2022年12月底之前完成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eastAsia="zh-CN"/>
              </w:rPr>
              <w:t>人才工作开发及引进专项经费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≤500万元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增加经济收入，提供就业岗位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个数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14个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提高引进人才工作的积极性，吸引更多的优秀人才来工作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效果明显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不适用</w:t>
            </w:r>
            <w:r>
              <w:rPr>
                <w:rFonts w:hint="eastAsia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不适用</w:t>
            </w:r>
            <w:r>
              <w:rPr>
                <w:rFonts w:hint="eastAsia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优化人才队伍结构，提升干部工作能力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效果明显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群众满意度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1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1"/>
                <w:szCs w:val="21"/>
              </w:rPr>
              <w:t>保障措施</w:t>
            </w:r>
          </w:p>
        </w:tc>
        <w:tc>
          <w:tcPr>
            <w:tcW w:w="77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仿宋_GB2312" w:cs="宋体"/>
                <w:kern w:val="0"/>
                <w:sz w:val="21"/>
                <w:szCs w:val="21"/>
              </w:rPr>
              <w:t>为确保专项实施而制定的制度和措施，如成立的专门管理机构、资金管理办法、项目管理办法、工作措施（方案、规划）等。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1"/>
                <w:szCs w:val="21"/>
              </w:rPr>
              <w:t>财政部门审核意见</w:t>
            </w:r>
          </w:p>
        </w:tc>
        <w:tc>
          <w:tcPr>
            <w:tcW w:w="77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                                                   </w:t>
            </w:r>
            <w:r>
              <w:rPr>
                <w:rFonts w:hint="eastAsia" w:cs="宋体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cs="宋体"/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cs="宋体"/>
                <w:kern w:val="0"/>
                <w:sz w:val="21"/>
                <w:szCs w:val="21"/>
              </w:rPr>
              <w:t>日</w:t>
            </w:r>
            <w:r>
              <w:rPr>
                <w:kern w:val="0"/>
                <w:sz w:val="21"/>
                <w:szCs w:val="21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tabs>
          <w:tab w:val="left" w:pos="3093"/>
          <w:tab w:val="left" w:pos="6493"/>
        </w:tabs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填报人：</w:t>
      </w:r>
      <w:r>
        <w:rPr>
          <w:rFonts w:hint="eastAsia" w:cs="宋体"/>
          <w:kern w:val="0"/>
          <w:sz w:val="24"/>
          <w:szCs w:val="21"/>
          <w:lang w:eastAsia="zh-CN"/>
        </w:rPr>
        <w:t>毛义春</w:t>
      </w:r>
      <w:r>
        <w:rPr>
          <w:rFonts w:ascii="宋体" w:hAnsi="宋体" w:cs="宋体"/>
          <w:kern w:val="0"/>
          <w:sz w:val="24"/>
          <w:szCs w:val="21"/>
        </w:rPr>
        <w:tab/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 xml:space="preserve">   </w:t>
      </w:r>
      <w:r>
        <w:rPr>
          <w:rFonts w:hint="eastAsia" w:cs="宋体"/>
          <w:kern w:val="0"/>
          <w:sz w:val="24"/>
          <w:szCs w:val="21"/>
        </w:rPr>
        <w:t>联系电话：</w:t>
      </w:r>
      <w:r>
        <w:rPr>
          <w:rFonts w:hint="eastAsia" w:cs="宋体"/>
          <w:kern w:val="0"/>
          <w:sz w:val="24"/>
          <w:szCs w:val="21"/>
          <w:lang w:val="en-US" w:eastAsia="zh-CN"/>
        </w:rPr>
        <w:t xml:space="preserve">                </w:t>
      </w:r>
      <w:r>
        <w:rPr>
          <w:kern w:val="0"/>
          <w:sz w:val="24"/>
          <w:szCs w:val="21"/>
        </w:rPr>
        <w:t>填报日期：</w:t>
      </w:r>
      <w:bookmarkStart w:id="0" w:name="_GoBack"/>
      <w:bookmarkEnd w:id="0"/>
      <w:r>
        <w:rPr>
          <w:rFonts w:ascii="宋体" w:hAnsi="宋体" w:cs="宋体"/>
          <w:kern w:val="0"/>
          <w:sz w:val="24"/>
          <w:szCs w:val="21"/>
        </w:rPr>
        <w:tab/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大标宋简体" w:hAnsi="宋体" w:eastAsia="方正大标宋简体" w:cs="宋体"/>
          <w:kern w:val="0"/>
          <w:sz w:val="36"/>
          <w:szCs w:val="36"/>
        </w:rPr>
      </w:pPr>
      <w:r>
        <w:rPr>
          <w:kern w:val="0"/>
          <w:szCs w:val="21"/>
        </w:rPr>
        <w:br w:type="page"/>
      </w: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靖州县财政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  <w:lang w:eastAsia="zh-CN"/>
        </w:rPr>
        <w:t>专项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支出项目预算绩效目标申报表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大标宋简体" w:hAnsi="宋体" w:eastAsia="方正大标宋简体" w:cs="宋体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（202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年度）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大标宋简体" w:hAnsi="宋体" w:eastAsia="方正大标宋简体" w:cs="宋体"/>
          <w:kern w:val="0"/>
          <w:sz w:val="36"/>
          <w:szCs w:val="36"/>
        </w:rPr>
      </w:pPr>
    </w:p>
    <w:p>
      <w:pPr>
        <w:widowControl/>
        <w:shd w:val="clear" w:color="auto" w:fill="FFFFFF"/>
        <w:spacing w:line="500" w:lineRule="exact"/>
        <w:rPr>
          <w:rFonts w:hint="eastAsia" w:eastAsia="宋体"/>
          <w:b/>
          <w:bCs/>
          <w:kern w:val="0"/>
          <w:sz w:val="32"/>
          <w:szCs w:val="32"/>
          <w:lang w:eastAsia="zh-CN"/>
        </w:rPr>
      </w:pPr>
      <w:r>
        <w:rPr>
          <w:b/>
          <w:kern w:val="0"/>
          <w:sz w:val="28"/>
          <w:szCs w:val="28"/>
        </w:rPr>
        <w:t>填报单位（盖章）：</w:t>
      </w:r>
      <w:r>
        <w:rPr>
          <w:rFonts w:hint="eastAsia"/>
          <w:b/>
          <w:kern w:val="0"/>
          <w:sz w:val="28"/>
          <w:szCs w:val="28"/>
          <w:lang w:eastAsia="zh-CN"/>
        </w:rPr>
        <w:t>水利局</w:t>
      </w:r>
    </w:p>
    <w:tbl>
      <w:tblPr>
        <w:tblStyle w:val="6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83"/>
        <w:gridCol w:w="1457"/>
        <w:gridCol w:w="306"/>
        <w:gridCol w:w="535"/>
        <w:gridCol w:w="675"/>
        <w:gridCol w:w="1097"/>
        <w:gridCol w:w="306"/>
        <w:gridCol w:w="217"/>
        <w:gridCol w:w="19"/>
        <w:gridCol w:w="799"/>
        <w:gridCol w:w="19"/>
        <w:gridCol w:w="306"/>
        <w:gridCol w:w="560"/>
        <w:gridCol w:w="19"/>
        <w:gridCol w:w="150"/>
        <w:gridCol w:w="86"/>
        <w:gridCol w:w="1183"/>
        <w:gridCol w:w="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>
              <w:rPr>
                <w:rFonts w:eastAsia="黑体"/>
                <w:kern w:val="0"/>
                <w:sz w:val="24"/>
                <w:szCs w:val="21"/>
              </w:rPr>
              <w:t>专项名称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  <w:lang w:eastAsia="zh-CN"/>
              </w:rPr>
              <w:t>水利建设配套</w:t>
            </w:r>
            <w:r>
              <w:rPr>
                <w:kern w:val="0"/>
                <w:sz w:val="24"/>
                <w:szCs w:val="21"/>
              </w:rPr>
              <w:t>　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>
              <w:rPr>
                <w:rFonts w:eastAsia="黑体"/>
                <w:kern w:val="0"/>
                <w:sz w:val="24"/>
                <w:szCs w:val="21"/>
              </w:rPr>
              <w:t>专项属性</w:t>
            </w:r>
          </w:p>
        </w:tc>
        <w:tc>
          <w:tcPr>
            <w:tcW w:w="36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延续专</w:t>
            </w:r>
            <w:r>
              <w:rPr>
                <w:rFonts w:hAnsi="宋体"/>
                <w:kern w:val="0"/>
                <w:sz w:val="24"/>
                <w:szCs w:val="21"/>
              </w:rPr>
              <w:t>项</w:t>
            </w:r>
            <w:r>
              <w:rPr>
                <w:kern w:val="0"/>
                <w:sz w:val="24"/>
                <w:szCs w:val="21"/>
              </w:rPr>
              <w:t>□   新增专</w:t>
            </w:r>
            <w:r>
              <w:rPr>
                <w:rFonts w:hAnsi="宋体"/>
                <w:kern w:val="0"/>
                <w:sz w:val="24"/>
                <w:szCs w:val="21"/>
              </w:rPr>
              <w:t>项</w:t>
            </w:r>
            <w:r>
              <w:rPr>
                <w:rFonts w:hint="eastAsia"/>
                <w:kern w:val="0"/>
                <w:sz w:val="24"/>
                <w:szCs w:val="21"/>
                <w:lang w:eastAsia="zh-CN"/>
              </w:rPr>
              <w:t>☑</w:t>
            </w:r>
            <w:r>
              <w:rPr>
                <w:kern w:val="0"/>
                <w:sz w:val="24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>
              <w:rPr>
                <w:rFonts w:eastAsia="黑体"/>
                <w:kern w:val="0"/>
                <w:sz w:val="24"/>
                <w:szCs w:val="21"/>
              </w:rPr>
              <w:t>部门名称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  <w:lang w:eastAsia="zh-CN"/>
              </w:rPr>
              <w:t>水利局</w:t>
            </w:r>
            <w:r>
              <w:rPr>
                <w:kern w:val="0"/>
                <w:sz w:val="24"/>
                <w:szCs w:val="21"/>
              </w:rPr>
              <w:t>　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>
              <w:rPr>
                <w:rFonts w:eastAsia="黑体"/>
                <w:kern w:val="0"/>
                <w:sz w:val="24"/>
                <w:szCs w:val="21"/>
              </w:rPr>
              <w:t>资金总额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>
              <w:rPr>
                <w:rFonts w:eastAsia="黑体"/>
                <w:kern w:val="0"/>
                <w:sz w:val="24"/>
                <w:szCs w:val="21"/>
              </w:rPr>
              <w:t>（万元）</w:t>
            </w:r>
          </w:p>
        </w:tc>
        <w:tc>
          <w:tcPr>
            <w:tcW w:w="36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300</w:t>
            </w:r>
            <w:r>
              <w:rPr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部门相应职能职责概述</w:t>
            </w:r>
          </w:p>
        </w:tc>
        <w:tc>
          <w:tcPr>
            <w:tcW w:w="77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eastAsia="zh-CN"/>
              </w:rPr>
              <w:t>落实相关项目配套服务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依据</w:t>
            </w:r>
          </w:p>
        </w:tc>
        <w:tc>
          <w:tcPr>
            <w:tcW w:w="77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>
              <w:rPr>
                <w:rFonts w:eastAsia="黑体"/>
                <w:kern w:val="0"/>
                <w:sz w:val="24"/>
                <w:szCs w:val="21"/>
              </w:rPr>
              <w:t>专项实施进度计划及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专项实施内容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计划开始时间</w:t>
            </w:r>
          </w:p>
        </w:tc>
        <w:tc>
          <w:tcPr>
            <w:tcW w:w="2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1、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2022.1</w:t>
            </w:r>
            <w:r>
              <w:rPr>
                <w:kern w:val="0"/>
                <w:sz w:val="24"/>
                <w:szCs w:val="21"/>
              </w:rPr>
              <w:t>　</w:t>
            </w:r>
          </w:p>
        </w:tc>
        <w:tc>
          <w:tcPr>
            <w:tcW w:w="2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2022.12</w:t>
            </w:r>
            <w:r>
              <w:rPr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2、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　</w:t>
            </w:r>
          </w:p>
        </w:tc>
        <w:tc>
          <w:tcPr>
            <w:tcW w:w="2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360" w:firstLineChars="150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1"/>
              </w:rPr>
              <w:t>………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2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>
              <w:rPr>
                <w:rFonts w:eastAsia="黑体"/>
                <w:kern w:val="0"/>
                <w:sz w:val="24"/>
                <w:szCs w:val="21"/>
              </w:rPr>
              <w:t>专项长期绩效目标</w:t>
            </w:r>
          </w:p>
        </w:tc>
        <w:tc>
          <w:tcPr>
            <w:tcW w:w="77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eastAsia="zh-CN"/>
              </w:rPr>
              <w:t>保障水利工程项目正常运行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>
              <w:rPr>
                <w:rFonts w:eastAsia="黑体"/>
                <w:kern w:val="0"/>
                <w:sz w:val="24"/>
                <w:szCs w:val="21"/>
              </w:rPr>
              <w:t>专项年度绩效目标</w:t>
            </w:r>
          </w:p>
        </w:tc>
        <w:tc>
          <w:tcPr>
            <w:tcW w:w="77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eastAsia="zh-CN"/>
              </w:rPr>
              <w:t>保障本年度配套工作顺利完成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>
              <w:rPr>
                <w:rFonts w:eastAsia="黑体"/>
                <w:kern w:val="0"/>
                <w:sz w:val="24"/>
                <w:szCs w:val="21"/>
              </w:rPr>
              <w:t>资金使用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>
              <w:rPr>
                <w:rFonts w:eastAsia="黑体"/>
                <w:kern w:val="0"/>
                <w:sz w:val="24"/>
                <w:szCs w:val="21"/>
              </w:rPr>
              <w:t>计划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总资金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（万元）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第一季度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第二季度</w:t>
            </w:r>
          </w:p>
        </w:tc>
        <w:tc>
          <w:tcPr>
            <w:tcW w:w="1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第三季度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>
              <w:rPr>
                <w:rFonts w:eastAsia="黑体"/>
                <w:kern w:val="0"/>
                <w:sz w:val="24"/>
                <w:szCs w:val="21"/>
              </w:rPr>
              <w:t>实施内容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300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50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50</w:t>
            </w:r>
          </w:p>
        </w:tc>
        <w:tc>
          <w:tcPr>
            <w:tcW w:w="1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100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>
              <w:rPr>
                <w:rFonts w:eastAsia="黑体"/>
                <w:kern w:val="0"/>
                <w:sz w:val="24"/>
                <w:szCs w:val="21"/>
              </w:rPr>
              <w:t>………</w:t>
            </w:r>
          </w:p>
        </w:tc>
        <w:tc>
          <w:tcPr>
            <w:tcW w:w="77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840" w:hRule="atLeas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>
              <w:rPr>
                <w:rFonts w:eastAsia="黑体"/>
                <w:kern w:val="0"/>
                <w:sz w:val="24"/>
                <w:szCs w:val="21"/>
              </w:rPr>
              <w:t>专项年度绩效指标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一级指标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二级指标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指标内容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指标值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</w:rPr>
              <w:t>产出指标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数量指标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  <w:lang w:eastAsia="zh-CN"/>
              </w:rPr>
              <w:t>完成项目设计、监理、审计和检测等工作</w:t>
            </w:r>
            <w:r>
              <w:rPr>
                <w:kern w:val="0"/>
                <w:sz w:val="24"/>
                <w:szCs w:val="21"/>
              </w:rPr>
              <w:t>　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eastAsia="zh-CN"/>
              </w:rPr>
              <w:t>按时高效完成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质量指标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  <w:lang w:eastAsia="zh-CN"/>
              </w:rPr>
              <w:t>完工合格率</w:t>
            </w:r>
            <w:r>
              <w:rPr>
                <w:kern w:val="0"/>
                <w:sz w:val="24"/>
                <w:szCs w:val="21"/>
              </w:rPr>
              <w:t>　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100%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时效指标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24"/>
                <w:szCs w:val="21"/>
                <w:lang w:eastAsia="zh-CN"/>
              </w:rPr>
            </w:pPr>
            <w:r>
              <w:rPr>
                <w:kern w:val="0"/>
                <w:sz w:val="24"/>
                <w:szCs w:val="21"/>
              </w:rPr>
              <w:t>　</w:t>
            </w:r>
            <w:r>
              <w:rPr>
                <w:rFonts w:hint="eastAsia"/>
                <w:kern w:val="0"/>
                <w:sz w:val="24"/>
                <w:szCs w:val="21"/>
                <w:lang w:eastAsia="zh-CN"/>
              </w:rPr>
              <w:t>完成时间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2022年12月31日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成本指标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eastAsia="zh-CN"/>
              </w:rPr>
              <w:t>水利建设资金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300万元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</w:rPr>
              <w:t>效益指标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经济效益指标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　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社会效益指标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  <w:lang w:eastAsia="zh-CN"/>
              </w:rPr>
              <w:t>保障项目正常运行</w:t>
            </w:r>
            <w:r>
              <w:rPr>
                <w:kern w:val="0"/>
                <w:sz w:val="24"/>
                <w:szCs w:val="21"/>
              </w:rPr>
              <w:t>　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100%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生态效益指标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 w:val="24"/>
                <w:szCs w:val="21"/>
                <w:lang w:eastAsia="zh-CN"/>
              </w:rPr>
            </w:pPr>
            <w:r>
              <w:rPr>
                <w:kern w:val="0"/>
                <w:sz w:val="24"/>
                <w:szCs w:val="21"/>
              </w:rPr>
              <w:t>　</w:t>
            </w:r>
            <w:r>
              <w:rPr>
                <w:rFonts w:hint="eastAsia"/>
                <w:kern w:val="0"/>
                <w:sz w:val="24"/>
                <w:szCs w:val="21"/>
                <w:lang w:eastAsia="zh-CN"/>
              </w:rPr>
              <w:t>保证项目实施地的生产情况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eastAsia="zh-CN"/>
              </w:rPr>
              <w:t>项目实施地生产环境受影响</w:t>
            </w: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0处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可持续影响指标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　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1"/>
              </w:rPr>
            </w:pPr>
            <w:r>
              <w:rPr>
                <w:rFonts w:hAnsi="宋体"/>
                <w:kern w:val="0"/>
                <w:sz w:val="24"/>
                <w:szCs w:val="21"/>
              </w:rPr>
              <w:t>满意度指标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社会公众或服务对象满意度指标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  <w:lang w:eastAsia="zh-CN"/>
              </w:rPr>
              <w:t>群总满意度</w:t>
            </w:r>
            <w:r>
              <w:rPr>
                <w:kern w:val="0"/>
                <w:sz w:val="24"/>
                <w:szCs w:val="21"/>
              </w:rPr>
              <w:t>　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eastAsia="zh-CN"/>
              </w:rPr>
              <w:t>≥</w:t>
            </w: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>98%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996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>
              <w:rPr>
                <w:rFonts w:eastAsia="黑体"/>
                <w:kern w:val="0"/>
                <w:sz w:val="24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>
              <w:rPr>
                <w:rFonts w:eastAsia="黑体"/>
                <w:kern w:val="0"/>
                <w:sz w:val="24"/>
                <w:szCs w:val="21"/>
              </w:rPr>
              <w:t>保障措施</w:t>
            </w:r>
          </w:p>
        </w:tc>
        <w:tc>
          <w:tcPr>
            <w:tcW w:w="77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</w:rPr>
              <w:t>为确保专项实施而制定的制度和措施，如成立的专门管理机构、资金管理办法、项目管理办法、工作措施（方案、规划）等。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146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4"/>
                <w:szCs w:val="21"/>
              </w:rPr>
            </w:pPr>
            <w:r>
              <w:rPr>
                <w:rFonts w:eastAsia="黑体"/>
                <w:kern w:val="0"/>
                <w:sz w:val="24"/>
                <w:szCs w:val="21"/>
              </w:rPr>
              <w:t>财政部门审核意见</w:t>
            </w:r>
          </w:p>
        </w:tc>
        <w:tc>
          <w:tcPr>
            <w:tcW w:w="77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shd w:val="clear" w:color="auto" w:fill="FFFFFF"/>
        <w:tabs>
          <w:tab w:val="left" w:pos="3093"/>
          <w:tab w:val="left" w:pos="6493"/>
        </w:tabs>
        <w:jc w:val="left"/>
        <w:rPr>
          <w:kern w:val="0"/>
          <w:sz w:val="24"/>
          <w:szCs w:val="21"/>
        </w:rPr>
      </w:pPr>
      <w:r>
        <w:rPr>
          <w:kern w:val="0"/>
          <w:sz w:val="24"/>
          <w:szCs w:val="21"/>
        </w:rPr>
        <w:t>填报人：</w:t>
      </w:r>
      <w:r>
        <w:rPr>
          <w:rFonts w:hint="eastAsia"/>
          <w:kern w:val="0"/>
          <w:sz w:val="24"/>
          <w:szCs w:val="21"/>
          <w:lang w:eastAsia="zh-CN"/>
        </w:rPr>
        <w:t>吴传生</w:t>
      </w:r>
      <w:r>
        <w:rPr>
          <w:rFonts w:hint="eastAsia"/>
          <w:kern w:val="0"/>
          <w:sz w:val="24"/>
          <w:szCs w:val="21"/>
          <w:lang w:val="en-US" w:eastAsia="zh-CN"/>
        </w:rPr>
        <w:t xml:space="preserve">                 </w:t>
      </w:r>
      <w:r>
        <w:rPr>
          <w:kern w:val="0"/>
          <w:sz w:val="24"/>
          <w:szCs w:val="21"/>
        </w:rPr>
        <w:t>联系电话：</w:t>
      </w:r>
      <w:r>
        <w:rPr>
          <w:rFonts w:hint="eastAsia"/>
          <w:kern w:val="0"/>
          <w:sz w:val="24"/>
          <w:szCs w:val="21"/>
          <w:lang w:val="en-US" w:eastAsia="zh-CN"/>
        </w:rPr>
        <w:t xml:space="preserve">              </w:t>
      </w:r>
      <w:r>
        <w:rPr>
          <w:kern w:val="0"/>
          <w:sz w:val="24"/>
          <w:szCs w:val="21"/>
        </w:rPr>
        <w:t>填报日期：</w:t>
      </w:r>
    </w:p>
    <w:p>
      <w:pPr>
        <w:widowControl/>
        <w:shd w:val="clear" w:color="auto" w:fill="FFFFFF"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kern w:val="0"/>
          <w:szCs w:val="21"/>
        </w:rPr>
        <w:br w:type="page"/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大标宋简体" w:hAnsi="宋体" w:eastAsia="方正大标宋简体" w:cs="宋体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靖州县财政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  <w:lang w:eastAsia="zh-CN"/>
        </w:rPr>
        <w:t>专项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支出项目预算绩效目标申报表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大标宋简体" w:hAnsi="宋体" w:eastAsia="方正大标宋简体" w:cs="宋体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（202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年度）</w:t>
      </w:r>
    </w:p>
    <w:p>
      <w:pPr>
        <w:widowControl/>
        <w:shd w:val="clear" w:color="auto" w:fill="FFFFFF"/>
        <w:spacing w:line="500" w:lineRule="exact"/>
        <w:rPr>
          <w:rFonts w:hint="eastAsia" w:ascii="Times New Roman" w:hAnsi="Times New Roman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填报单位（盖章）：</w:t>
      </w:r>
      <w:r>
        <w:rPr>
          <w:rFonts w:hint="eastAsia" w:ascii="Times New Roman" w:hAnsi="Times New Roman" w:cs="Times New Roman"/>
          <w:b/>
          <w:kern w:val="0"/>
          <w:sz w:val="28"/>
          <w:szCs w:val="28"/>
          <w:lang w:eastAsia="zh-CN"/>
        </w:rPr>
        <w:t>靖州县民政局</w:t>
      </w:r>
    </w:p>
    <w:tbl>
      <w:tblPr>
        <w:tblStyle w:val="6"/>
        <w:tblpPr w:leftFromText="180" w:rightFromText="180" w:vertAnchor="text" w:horzAnchor="page" w:tblpX="1533" w:tblpY="460"/>
        <w:tblOverlap w:val="never"/>
        <w:tblW w:w="11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48"/>
        <w:gridCol w:w="1822"/>
        <w:gridCol w:w="311"/>
        <w:gridCol w:w="1705"/>
        <w:gridCol w:w="67"/>
        <w:gridCol w:w="169"/>
        <w:gridCol w:w="675"/>
        <w:gridCol w:w="589"/>
        <w:gridCol w:w="508"/>
        <w:gridCol w:w="306"/>
        <w:gridCol w:w="148"/>
        <w:gridCol w:w="325"/>
        <w:gridCol w:w="562"/>
        <w:gridCol w:w="306"/>
        <w:gridCol w:w="76"/>
        <w:gridCol w:w="503"/>
        <w:gridCol w:w="399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690" w:hRule="atLeast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专项名称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老年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福利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专项属性</w:t>
            </w:r>
          </w:p>
        </w:tc>
        <w:tc>
          <w:tcPr>
            <w:tcW w:w="36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延续专项☑    新增专项□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690" w:hRule="atLeast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部门名称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靖州县民政局社会事务股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资金总额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36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875" w:hRule="atLeast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部门相应职能职责概述</w:t>
            </w:r>
          </w:p>
        </w:tc>
        <w:tc>
          <w:tcPr>
            <w:tcW w:w="75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发放百岁老人长寿保健费，80岁、90岁高龄老人补助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低保对象中的失能、半失能老人提供基本养老服务及开展社区居家养老服务。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755" w:hRule="atLeast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依据</w:t>
            </w:r>
          </w:p>
        </w:tc>
        <w:tc>
          <w:tcPr>
            <w:tcW w:w="75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湘政办函[2001]21号、怀办[2012]46号、靖办[2012]31号、2012年人民政府常务会议纪要第47次、2013年政府常务会议纪要第5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次会议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690" w:hRule="atLeast"/>
        </w:trPr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专项实施进度计划及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专项实施内容</w:t>
            </w:r>
          </w:p>
        </w:tc>
        <w:tc>
          <w:tcPr>
            <w:tcW w:w="3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计划开始时间</w:t>
            </w:r>
          </w:p>
        </w:tc>
        <w:tc>
          <w:tcPr>
            <w:tcW w:w="2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690" w:hRule="atLeast"/>
        </w:trPr>
        <w:tc>
          <w:tcPr>
            <w:tcW w:w="1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高龄补贴、百岁老人保健费</w:t>
            </w:r>
          </w:p>
        </w:tc>
        <w:tc>
          <w:tcPr>
            <w:tcW w:w="3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年1月　</w:t>
            </w:r>
          </w:p>
        </w:tc>
        <w:tc>
          <w:tcPr>
            <w:tcW w:w="2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年12月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690" w:hRule="atLeast"/>
        </w:trPr>
        <w:tc>
          <w:tcPr>
            <w:tcW w:w="1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基本养老服务</w:t>
            </w:r>
          </w:p>
        </w:tc>
        <w:tc>
          <w:tcPr>
            <w:tcW w:w="3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年1月　</w:t>
            </w:r>
          </w:p>
        </w:tc>
        <w:tc>
          <w:tcPr>
            <w:tcW w:w="2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年12月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690" w:hRule="atLeast"/>
        </w:trPr>
        <w:tc>
          <w:tcPr>
            <w:tcW w:w="1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社区居家养老服务</w:t>
            </w:r>
          </w:p>
        </w:tc>
        <w:tc>
          <w:tcPr>
            <w:tcW w:w="3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年1月　</w:t>
            </w:r>
          </w:p>
        </w:tc>
        <w:tc>
          <w:tcPr>
            <w:tcW w:w="2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年12月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690" w:hRule="atLeast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专项长期绩效目标</w:t>
            </w:r>
          </w:p>
        </w:tc>
        <w:tc>
          <w:tcPr>
            <w:tcW w:w="75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符合条件的对象均能享受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690" w:hRule="atLeast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专项年度绩效目标</w:t>
            </w:r>
          </w:p>
        </w:tc>
        <w:tc>
          <w:tcPr>
            <w:tcW w:w="75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每个补助对象都能满意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690" w:hRule="atLeast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资金使用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计划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总资金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第一季度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第二季度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第三季度</w:t>
            </w: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500" w:hRule="atLeast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实施内容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272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62.5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62.5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62.5</w:t>
            </w: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575" w:hRule="atLeast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高龄补贴、百岁老人保健费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62.5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62.5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62.5</w:t>
            </w: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590" w:hRule="atLeast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基本养老服务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500" w:hRule="atLeast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社区居家养老服务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560" w:hRule="atLeast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620" w:hRule="atLeast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专项年度绩效指标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指标内容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2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840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补贴发放计划完成率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840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补贴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对象认定准确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率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460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发放及时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率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438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老年福利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经费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≤272万元</w:t>
            </w:r>
          </w:p>
        </w:tc>
        <w:tc>
          <w:tcPr>
            <w:tcW w:w="2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665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专项资金使用效益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2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575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符合补贴条件人员基本生活得到有效保障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有效保障</w:t>
            </w:r>
          </w:p>
        </w:tc>
        <w:tc>
          <w:tcPr>
            <w:tcW w:w="2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495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不适用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不适用</w:t>
            </w:r>
          </w:p>
        </w:tc>
        <w:tc>
          <w:tcPr>
            <w:tcW w:w="2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665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制度运行平稳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制度不断完善</w:t>
            </w:r>
          </w:p>
        </w:tc>
        <w:tc>
          <w:tcPr>
            <w:tcW w:w="2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650" w:hRule="atLeast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使用人员满意度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≥95%</w:t>
            </w:r>
          </w:p>
        </w:tc>
        <w:tc>
          <w:tcPr>
            <w:tcW w:w="2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746" w:hRule="atLeast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保障措施</w:t>
            </w:r>
          </w:p>
        </w:tc>
        <w:tc>
          <w:tcPr>
            <w:tcW w:w="75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【2012】46号、6届政府常务会议纪要【2012年】第47次、7届政府【2013】第5次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41" w:type="dxa"/>
          <w:trHeight w:val="1544" w:hRule="atLeast"/>
        </w:trPr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财政部门审核意见</w:t>
            </w:r>
          </w:p>
        </w:tc>
        <w:tc>
          <w:tcPr>
            <w:tcW w:w="75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ind w:right="63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ind w:right="63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ind w:right="63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tabs>
          <w:tab w:val="left" w:pos="3093"/>
          <w:tab w:val="left" w:pos="6493"/>
        </w:tabs>
        <w:jc w:val="left"/>
        <w:rPr>
          <w:rFonts w:hint="eastAsia" w:ascii="Times New Roman" w:hAnsi="Times New Roman" w:cs="宋体"/>
          <w:kern w:val="0"/>
          <w:sz w:val="24"/>
          <w:szCs w:val="21"/>
          <w:lang w:eastAsia="zh-CN"/>
        </w:rPr>
      </w:pPr>
    </w:p>
    <w:p>
      <w:pPr>
        <w:widowControl/>
        <w:shd w:val="clear" w:color="auto" w:fill="FFFFFF"/>
        <w:tabs>
          <w:tab w:val="left" w:pos="3093"/>
          <w:tab w:val="left" w:pos="6493"/>
        </w:tabs>
        <w:jc w:val="left"/>
        <w:rPr>
          <w:rFonts w:hint="eastAsia" w:ascii="Times New Roman" w:hAnsi="Times New Roman" w:cs="宋体"/>
          <w:kern w:val="0"/>
          <w:sz w:val="24"/>
          <w:szCs w:val="21"/>
          <w:lang w:val="en-US" w:eastAsia="zh-CN"/>
        </w:rPr>
      </w:pPr>
      <w:r>
        <w:rPr>
          <w:rFonts w:hint="eastAsia" w:ascii="Times New Roman" w:hAnsi="Times New Roman" w:cs="宋体"/>
          <w:kern w:val="0"/>
          <w:sz w:val="24"/>
          <w:szCs w:val="21"/>
        </w:rPr>
        <w:t>填报人：</w:t>
      </w:r>
      <w:r>
        <w:rPr>
          <w:rFonts w:hint="eastAsia" w:ascii="Times New Roman" w:hAnsi="Times New Roman" w:cs="宋体"/>
          <w:kern w:val="0"/>
          <w:sz w:val="24"/>
          <w:szCs w:val="21"/>
          <w:lang w:eastAsia="zh-CN"/>
        </w:rPr>
        <w:t>杨云模</w:t>
      </w:r>
      <w:r>
        <w:rPr>
          <w:rFonts w:hint="eastAsia" w:ascii="Times New Roman" w:hAnsi="Times New Roman" w:cs="宋体"/>
          <w:kern w:val="0"/>
          <w:sz w:val="24"/>
          <w:szCs w:val="21"/>
        </w:rPr>
        <w:t xml:space="preserve">           </w:t>
      </w:r>
      <w:r>
        <w:rPr>
          <w:rFonts w:hint="eastAsia" w:ascii="Times New Roman" w:hAnsi="Times New Roman" w:cs="宋体"/>
          <w:kern w:val="0"/>
          <w:sz w:val="24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cs="宋体"/>
          <w:kern w:val="0"/>
          <w:sz w:val="24"/>
          <w:szCs w:val="21"/>
        </w:rPr>
        <w:t xml:space="preserve">联系电话： </w:t>
      </w:r>
      <w:r>
        <w:rPr>
          <w:rFonts w:hint="eastAsia" w:ascii="Times New Roman" w:hAnsi="Times New Roman" w:cs="宋体"/>
          <w:kern w:val="0"/>
          <w:sz w:val="24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宋体"/>
          <w:kern w:val="0"/>
          <w:sz w:val="24"/>
          <w:szCs w:val="21"/>
        </w:rPr>
        <w:t xml:space="preserve">          填报日期：</w:t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大标宋简体" w:hAnsi="宋体" w:eastAsia="方正大标宋简体" w:cs="宋体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靖州县财政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  <w:lang w:eastAsia="zh-CN"/>
        </w:rPr>
        <w:t>专项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支出项目预算绩效目标申报表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大标宋简体" w:hAnsi="宋体" w:eastAsia="方正大标宋简体" w:cs="宋体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（202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年度）</w:t>
      </w:r>
    </w:p>
    <w:p>
      <w:pPr>
        <w:widowControl/>
        <w:shd w:val="clear" w:color="auto" w:fill="FFFFFF"/>
        <w:spacing w:line="500" w:lineRule="exact"/>
        <w:jc w:val="left"/>
        <w:rPr>
          <w:rFonts w:hint="eastAsia"/>
          <w:b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填报单位（盖章）</w:t>
      </w:r>
      <w:r>
        <w:rPr>
          <w:rFonts w:hint="eastAsia" w:ascii="Times New Roman" w:hAnsi="Times New Roman" w:cs="Times New Roman"/>
          <w:b/>
          <w:kern w:val="0"/>
          <w:sz w:val="28"/>
          <w:szCs w:val="28"/>
          <w:lang w:eastAsia="zh-CN"/>
        </w:rPr>
        <w:t>靖州县社会保险服务中心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ab/>
      </w:r>
      <w:r>
        <w:rPr>
          <w:b/>
          <w:kern w:val="0"/>
          <w:sz w:val="28"/>
          <w:szCs w:val="28"/>
        </w:rPr>
        <w:tab/>
      </w:r>
      <w:r>
        <w:rPr>
          <w:b/>
          <w:kern w:val="0"/>
          <w:sz w:val="28"/>
          <w:szCs w:val="28"/>
        </w:rPr>
        <w:tab/>
      </w:r>
      <w:r>
        <w:rPr>
          <w:b/>
          <w:kern w:val="0"/>
          <w:sz w:val="28"/>
          <w:szCs w:val="28"/>
        </w:rPr>
        <w:tab/>
      </w:r>
    </w:p>
    <w:tbl>
      <w:tblPr>
        <w:tblStyle w:val="6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805"/>
        <w:gridCol w:w="1710"/>
        <w:gridCol w:w="1700"/>
        <w:gridCol w:w="1224"/>
        <w:gridCol w:w="791"/>
        <w:gridCol w:w="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城乡居保特殊人员政府代缴县级配套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新增项目 □        延续项目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人力资源社会保障局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主管部门编码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项目单位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社会保险服务中心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吴玉东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13787519852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项目起止时间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2022年1月1日至2022年12月31日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项目资金申请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资金总额：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160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一、财政拨款：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160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二、自有资金：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三、其他：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项目概况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财政对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特殊人员政府代缴县级配套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项目立项情况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项目立项的依据</w:t>
            </w:r>
          </w:p>
        </w:tc>
        <w:tc>
          <w:tcPr>
            <w:tcW w:w="5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国发【2009】32号文件　、湘人社发（2014）37号文件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、湘人社函【202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项目申报的可行性</w:t>
            </w:r>
          </w:p>
        </w:tc>
        <w:tc>
          <w:tcPr>
            <w:tcW w:w="5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国发【2009】32号文件　、湘人社发（2014）37号文件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、湘人社函【202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项目申报的必要性</w:t>
            </w:r>
          </w:p>
        </w:tc>
        <w:tc>
          <w:tcPr>
            <w:tcW w:w="5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用于弥补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财政对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特殊人员政府代缴县级配套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按时足额发放　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项目实施进度计划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项目实施内容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开始时间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完成时间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城乡居保特殊人员政府代缴县级配套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2022年1月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2022年12月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项目绩效目标</w:t>
            </w: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长期目标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年度目标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确保全县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城乡居民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特殊人员政府代缴县级配套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按时足额发放。　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确保全县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城乡居民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特殊人员政府代缴县级配套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按时足额发放。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指标内容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发放率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足额发放到位率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发放的及时率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财政对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特殊人员政府代缴县级配套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特殊人员收入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收入增加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特殊人员生活得到基本保障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不适用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不适用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社会的稳定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持续稳定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满意度指标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特殊人员满意度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≥99%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其他需说明的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问  题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预算部门审核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  见</w:t>
            </w:r>
          </w:p>
        </w:tc>
        <w:tc>
          <w:tcPr>
            <w:tcW w:w="723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ind w:firstLine="4830" w:firstLineChars="23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ind w:firstLine="4830" w:firstLineChars="23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年   月   日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3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tabs>
          <w:tab w:val="left" w:pos="1725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hint="eastAsia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   </w:t>
      </w:r>
    </w:p>
    <w:p>
      <w:pPr>
        <w:widowControl/>
        <w:shd w:val="clear" w:color="auto" w:fill="FFFFFF"/>
        <w:tabs>
          <w:tab w:val="left" w:pos="1725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hint="default" w:eastAsia="宋体"/>
          <w:kern w:val="0"/>
          <w:sz w:val="24"/>
          <w:szCs w:val="21"/>
          <w:lang w:val="en-US" w:eastAsia="zh-CN"/>
        </w:rPr>
      </w:pPr>
      <w:r>
        <w:rPr>
          <w:rFonts w:hint="eastAsia" w:cs="宋体"/>
          <w:kern w:val="0"/>
          <w:sz w:val="24"/>
          <w:szCs w:val="21"/>
        </w:rPr>
        <w:t> 填报人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：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 xml:space="preserve">胡连连               </w:t>
      </w:r>
      <w:r>
        <w:rPr>
          <w:rFonts w:hint="eastAsia" w:cs="宋体"/>
          <w:kern w:val="0"/>
          <w:sz w:val="24"/>
          <w:szCs w:val="21"/>
        </w:rPr>
        <w:t>联系电话：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 xml:space="preserve">             </w:t>
      </w:r>
      <w:r>
        <w:rPr>
          <w:rFonts w:hint="eastAsia" w:cs="宋体"/>
          <w:kern w:val="0"/>
          <w:sz w:val="24"/>
          <w:szCs w:val="21"/>
        </w:rPr>
        <w:t>填报日期：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kern w:val="0"/>
          <w:szCs w:val="21"/>
        </w:rPr>
        <w:br w:type="page"/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大标宋简体" w:hAnsi="宋体" w:eastAsia="方正大标宋简体" w:cs="宋体"/>
          <w:kern w:val="0"/>
          <w:sz w:val="36"/>
          <w:szCs w:val="36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大标宋简体" w:hAnsi="宋体" w:eastAsia="方正大标宋简体" w:cs="宋体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靖州县财政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  <w:lang w:eastAsia="zh-CN"/>
        </w:rPr>
        <w:t>专项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支出项目预算绩效目标申报表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大标宋简体" w:hAnsi="宋体" w:eastAsia="方正大标宋简体" w:cs="宋体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（202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年度）</w:t>
      </w:r>
    </w:p>
    <w:p>
      <w:pPr>
        <w:widowControl/>
        <w:shd w:val="clear" w:color="auto" w:fill="FFFFFF"/>
        <w:spacing w:line="500" w:lineRule="exact"/>
        <w:rPr>
          <w:rFonts w:ascii="宋体" w:hAnsi="宋体" w:eastAsia="楷体_GB2312" w:cs="宋体"/>
          <w:b/>
          <w:bCs/>
          <w:kern w:val="0"/>
          <w:sz w:val="32"/>
          <w:szCs w:val="32"/>
        </w:rPr>
      </w:pPr>
      <w:r>
        <w:rPr>
          <w:rFonts w:hint="eastAsia" w:cs="宋体"/>
          <w:b/>
          <w:kern w:val="0"/>
          <w:sz w:val="28"/>
          <w:szCs w:val="28"/>
        </w:rPr>
        <w:t>填报单位（盖章）：教育局</w:t>
      </w:r>
    </w:p>
    <w:tbl>
      <w:tblPr>
        <w:tblStyle w:val="6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83"/>
        <w:gridCol w:w="1457"/>
        <w:gridCol w:w="306"/>
        <w:gridCol w:w="535"/>
        <w:gridCol w:w="675"/>
        <w:gridCol w:w="1097"/>
        <w:gridCol w:w="306"/>
        <w:gridCol w:w="473"/>
        <w:gridCol w:w="562"/>
        <w:gridCol w:w="306"/>
        <w:gridCol w:w="978"/>
        <w:gridCol w:w="236"/>
        <w:gridCol w:w="803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专项名称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　</w:t>
            </w:r>
            <w:r>
              <w:rPr>
                <w:rFonts w:hint="eastAsia" w:cs="宋体"/>
                <w:kern w:val="0"/>
                <w:sz w:val="24"/>
                <w:szCs w:val="21"/>
                <w:lang w:eastAsia="zh-CN"/>
              </w:rPr>
              <w:t>合同制教师工资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专项属性</w:t>
            </w:r>
          </w:p>
        </w:tc>
        <w:tc>
          <w:tcPr>
            <w:tcW w:w="3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延续专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项</w:t>
            </w:r>
            <w:r>
              <w:rPr>
                <w:rFonts w:hint="eastAsia" w:ascii="宋体" w:hAnsi="宋体"/>
                <w:kern w:val="0"/>
                <w:sz w:val="24"/>
                <w:szCs w:val="21"/>
                <w:lang w:eastAsia="zh-CN"/>
              </w:rPr>
              <w:t>☑</w:t>
            </w:r>
            <w:r>
              <w:rPr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1"/>
              </w:rPr>
              <w:t>新增专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项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□</w:t>
            </w:r>
            <w:r>
              <w:rPr>
                <w:kern w:val="0"/>
                <w:sz w:val="24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部门名称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　教育局计财股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资金总额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（万元）</w:t>
            </w:r>
          </w:p>
        </w:tc>
        <w:tc>
          <w:tcPr>
            <w:tcW w:w="36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1"/>
                <w:lang w:val="en-US" w:eastAsia="zh-CN"/>
              </w:rPr>
              <w:t>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部门相应职能职责概述</w:t>
            </w:r>
          </w:p>
        </w:tc>
        <w:tc>
          <w:tcPr>
            <w:tcW w:w="77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根据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合同制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教师人数制定年度预算，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保障合同制教师基本生活，提高合同制教师工作积极性和教育、教学水平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依据</w:t>
            </w:r>
          </w:p>
        </w:tc>
        <w:tc>
          <w:tcPr>
            <w:tcW w:w="77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2019年第14次县委常委会议、中共靖州苗族侗族自治县教育工作领导小组第2次会议纪要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90" w:hRule="atLeast"/>
          <w:jc w:val="center"/>
        </w:trPr>
        <w:tc>
          <w:tcPr>
            <w:tcW w:w="14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专项实施进度计划及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专项实施内容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计划开始时间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90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1</w:t>
            </w:r>
            <w:r>
              <w:rPr>
                <w:rFonts w:hint="eastAsia" w:cs="宋体"/>
                <w:kern w:val="0"/>
                <w:sz w:val="24"/>
                <w:szCs w:val="21"/>
              </w:rPr>
              <w:t>、</w:t>
            </w:r>
            <w:r>
              <w:rPr>
                <w:rFonts w:hint="eastAsia" w:cs="宋体"/>
                <w:kern w:val="0"/>
                <w:sz w:val="24"/>
                <w:szCs w:val="21"/>
                <w:lang w:eastAsia="zh-CN"/>
              </w:rPr>
              <w:t>合同制教师工资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　202</w:t>
            </w:r>
            <w:r>
              <w:rPr>
                <w:rFonts w:hint="eastAsia" w:cs="宋体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kern w:val="0"/>
                <w:sz w:val="24"/>
                <w:szCs w:val="21"/>
              </w:rPr>
              <w:t>.1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202</w:t>
            </w:r>
            <w:r>
              <w:rPr>
                <w:rFonts w:hint="eastAsia" w:cs="宋体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kern w:val="0"/>
                <w:sz w:val="24"/>
                <w:szCs w:val="21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90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2</w:t>
            </w:r>
            <w:r>
              <w:rPr>
                <w:rFonts w:hint="eastAsia" w:cs="宋体"/>
                <w:kern w:val="0"/>
                <w:sz w:val="24"/>
                <w:szCs w:val="21"/>
              </w:rPr>
              <w:t>、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90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60" w:firstLineChars="150"/>
              <w:rPr>
                <w:kern w:val="0"/>
                <w:sz w:val="24"/>
              </w:rPr>
            </w:pPr>
            <w:r>
              <w:rPr>
                <w:rFonts w:hAnsi="宋体" w:eastAsia="黑体" w:cs="宋体"/>
                <w:kern w:val="0"/>
                <w:sz w:val="24"/>
                <w:szCs w:val="21"/>
              </w:rPr>
              <w:t>………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专项长期绩效目标</w:t>
            </w:r>
          </w:p>
        </w:tc>
        <w:tc>
          <w:tcPr>
            <w:tcW w:w="77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用于发放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合同制教师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工资，提高教师工作积极性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专项年度绩效目标</w:t>
            </w:r>
          </w:p>
        </w:tc>
        <w:tc>
          <w:tcPr>
            <w:tcW w:w="77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用于发放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合同制教师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工资，提高教师工作积极性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资金使用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计划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总资金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（万元）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第一季度</w:t>
            </w:r>
          </w:p>
        </w:tc>
        <w:tc>
          <w:tcPr>
            <w:tcW w:w="1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第二季度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第三季度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实施内容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672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168</w:t>
            </w:r>
          </w:p>
        </w:tc>
        <w:tc>
          <w:tcPr>
            <w:tcW w:w="1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168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168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40" w:hRule="atLeas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专项年度绩效指标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一级指标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二级指标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指标内容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指标值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数量指标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　</w:t>
            </w:r>
            <w:r>
              <w:rPr>
                <w:rFonts w:hint="eastAsia" w:cs="宋体"/>
                <w:kern w:val="0"/>
                <w:sz w:val="24"/>
                <w:szCs w:val="21"/>
                <w:lang w:eastAsia="zh-CN"/>
              </w:rPr>
              <w:t>合同制教师</w:t>
            </w:r>
            <w:r>
              <w:rPr>
                <w:rFonts w:hint="eastAsia" w:cs="宋体"/>
                <w:kern w:val="0"/>
                <w:sz w:val="24"/>
                <w:szCs w:val="21"/>
                <w:lang w:val="en-US" w:eastAsia="zh-CN"/>
              </w:rPr>
              <w:t>人数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≥168人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质量指标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  <w:lang w:eastAsia="zh-CN"/>
              </w:rPr>
              <w:t>合同制教师工资发放</w:t>
            </w:r>
            <w:r>
              <w:rPr>
                <w:rFonts w:hint="eastAsia" w:cs="宋体"/>
                <w:kern w:val="0"/>
                <w:sz w:val="24"/>
                <w:szCs w:val="21"/>
                <w:lang w:val="en-US" w:eastAsia="zh-CN"/>
              </w:rPr>
              <w:t>到位</w:t>
            </w:r>
            <w:r>
              <w:rPr>
                <w:rFonts w:hint="eastAsia" w:cs="宋体"/>
                <w:kern w:val="0"/>
                <w:sz w:val="24"/>
                <w:szCs w:val="21"/>
              </w:rPr>
              <w:t>率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100%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时效指标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  <w:lang w:val="en-US" w:eastAsia="zh-CN"/>
              </w:rPr>
              <w:t>工资发放及时性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按月及时发放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成本指标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  <w:lang w:eastAsia="zh-CN"/>
              </w:rPr>
              <w:t>合同制教师工资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≤672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万元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</w:rPr>
              <w:t>效益指标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经济效益指标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提高合同制教师待遇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明显提高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社会效益指标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　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提高教育教学质量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显著提高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生态效益指标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  <w:lang w:val="en-US" w:eastAsia="zh-CN"/>
              </w:rPr>
              <w:t>不适用</w:t>
            </w:r>
            <w:r>
              <w:rPr>
                <w:rFonts w:hint="eastAsia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  <w:lang w:val="en-US" w:eastAsia="zh-CN"/>
              </w:rPr>
              <w:t>不适用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可持续影响指标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  <w:lang w:eastAsia="zh-CN"/>
              </w:rPr>
              <w:t>合同制</w:t>
            </w:r>
            <w:r>
              <w:rPr>
                <w:rFonts w:hint="eastAsia" w:cs="宋体"/>
                <w:kern w:val="0"/>
                <w:sz w:val="24"/>
                <w:szCs w:val="21"/>
              </w:rPr>
              <w:t>教师工作积极性和教育水平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明显增加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社会公众或服务对象满意度指标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　教师满意度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90%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96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保障措施</w:t>
            </w:r>
          </w:p>
        </w:tc>
        <w:tc>
          <w:tcPr>
            <w:tcW w:w="77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制定了年度预算，按月及时发放。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769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财政部门审核意见</w:t>
            </w:r>
          </w:p>
        </w:tc>
        <w:tc>
          <w:tcPr>
            <w:tcW w:w="77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 xml:space="preserve">                                                             </w:t>
            </w:r>
            <w:r>
              <w:rPr>
                <w:rFonts w:hint="eastAsia" w:cs="宋体"/>
                <w:kern w:val="0"/>
                <w:sz w:val="24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jc w:val="right"/>
              <w:rPr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年</w:t>
            </w:r>
            <w:r>
              <w:rPr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1"/>
              </w:rPr>
              <w:t>月</w:t>
            </w:r>
            <w:r>
              <w:rPr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1"/>
              </w:rPr>
              <w:t>日</w:t>
            </w:r>
            <w:r>
              <w:rPr>
                <w:kern w:val="0"/>
                <w:sz w:val="24"/>
                <w:szCs w:val="21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shd w:val="clear" w:color="auto" w:fill="FFFFFF"/>
        <w:tabs>
          <w:tab w:val="left" w:pos="3093"/>
          <w:tab w:val="left" w:pos="6493"/>
        </w:tabs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填报人：凌承香</w:t>
      </w:r>
      <w:r>
        <w:rPr>
          <w:rFonts w:ascii="宋体" w:hAnsi="宋体" w:cs="宋体"/>
          <w:kern w:val="0"/>
          <w:sz w:val="24"/>
          <w:szCs w:val="21"/>
        </w:rPr>
        <w:tab/>
      </w:r>
      <w:r>
        <w:rPr>
          <w:rFonts w:hint="eastAsia" w:cs="宋体"/>
          <w:kern w:val="0"/>
          <w:sz w:val="24"/>
          <w:szCs w:val="21"/>
        </w:rPr>
        <w:t>联系电话：</w:t>
      </w:r>
      <w:r>
        <w:rPr>
          <w:rFonts w:ascii="宋体" w:hAnsi="宋体" w:cs="宋体"/>
          <w:kern w:val="0"/>
          <w:sz w:val="24"/>
          <w:szCs w:val="21"/>
        </w:rPr>
        <w:tab/>
      </w:r>
      <w:r>
        <w:rPr>
          <w:rFonts w:hint="eastAsia" w:cs="宋体"/>
          <w:kern w:val="0"/>
          <w:sz w:val="24"/>
          <w:szCs w:val="21"/>
        </w:rPr>
        <w:t>填报日期：</w:t>
      </w:r>
    </w:p>
    <w:p/>
    <w:p/>
    <w:p/>
    <w:p/>
    <w:p/>
    <w:p/>
    <w:p/>
    <w:p/>
    <w:p/>
    <w:p/>
    <w:p/>
    <w:p/>
    <w:p/>
    <w:p/>
    <w:p>
      <w:pPr>
        <w:widowControl/>
        <w:shd w:val="clear" w:color="auto" w:fill="FFFFFF"/>
        <w:spacing w:line="500" w:lineRule="exact"/>
        <w:jc w:val="center"/>
        <w:rPr>
          <w:rFonts w:hint="eastAsia" w:ascii="方正大标宋简体" w:hAnsi="宋体" w:eastAsia="方正大标宋简体" w:cs="宋体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靖州县财政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  <w:lang w:eastAsia="zh-CN"/>
        </w:rPr>
        <w:t>专项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支出项目预算绩效目标申报表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大标宋简体" w:hAnsi="宋体" w:eastAsia="方正大标宋简体" w:cs="宋体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（202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年度）</w:t>
      </w:r>
    </w:p>
    <w:p>
      <w:pPr>
        <w:widowControl/>
        <w:shd w:val="clear" w:color="auto" w:fill="FFFFFF"/>
        <w:spacing w:line="500" w:lineRule="exac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cs="宋体"/>
          <w:b/>
          <w:kern w:val="0"/>
          <w:sz w:val="28"/>
          <w:szCs w:val="28"/>
        </w:rPr>
        <w:t>填报单位（盖章）：</w:t>
      </w:r>
      <w:r>
        <w:rPr>
          <w:rFonts w:hint="eastAsia" w:cs="宋体"/>
          <w:b/>
          <w:kern w:val="0"/>
          <w:sz w:val="28"/>
          <w:szCs w:val="28"/>
          <w:lang w:eastAsia="zh-CN"/>
        </w:rPr>
        <w:t>城管局</w:t>
      </w:r>
    </w:p>
    <w:tbl>
      <w:tblPr>
        <w:tblStyle w:val="6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83"/>
        <w:gridCol w:w="1457"/>
        <w:gridCol w:w="306"/>
        <w:gridCol w:w="535"/>
        <w:gridCol w:w="675"/>
        <w:gridCol w:w="1097"/>
        <w:gridCol w:w="306"/>
        <w:gridCol w:w="217"/>
        <w:gridCol w:w="19"/>
        <w:gridCol w:w="799"/>
        <w:gridCol w:w="19"/>
        <w:gridCol w:w="306"/>
        <w:gridCol w:w="560"/>
        <w:gridCol w:w="19"/>
        <w:gridCol w:w="150"/>
        <w:gridCol w:w="86"/>
        <w:gridCol w:w="1183"/>
        <w:gridCol w:w="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专项名称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路灯管理、维护和电费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专项属性</w:t>
            </w:r>
          </w:p>
        </w:tc>
        <w:tc>
          <w:tcPr>
            <w:tcW w:w="36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延续专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项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□</w:t>
            </w:r>
            <w:r>
              <w:rPr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1"/>
              </w:rPr>
              <w:t>新增专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项√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□</w:t>
            </w:r>
            <w:r>
              <w:rPr>
                <w:kern w:val="0"/>
                <w:sz w:val="24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部门名称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城市管理和综合执法局　　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资金总额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（万元）</w:t>
            </w:r>
          </w:p>
        </w:tc>
        <w:tc>
          <w:tcPr>
            <w:tcW w:w="36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280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部门相应职能职责概述</w:t>
            </w:r>
          </w:p>
        </w:tc>
        <w:tc>
          <w:tcPr>
            <w:tcW w:w="77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对城区亮化进行设计、施工、日常管理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依据</w:t>
            </w:r>
          </w:p>
        </w:tc>
        <w:tc>
          <w:tcPr>
            <w:tcW w:w="77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靖发改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［2015］20号</w:t>
            </w:r>
            <w:r>
              <w:rPr>
                <w:rFonts w:hint="eastAsia" w:cs="宋体"/>
                <w:kern w:val="0"/>
                <w:sz w:val="24"/>
                <w:szCs w:val="21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专项实施进度计划及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专项实施内容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计划开始时间</w:t>
            </w:r>
          </w:p>
        </w:tc>
        <w:tc>
          <w:tcPr>
            <w:tcW w:w="2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1</w:t>
            </w:r>
            <w:r>
              <w:rPr>
                <w:rFonts w:hint="eastAsia" w:cs="宋体"/>
                <w:kern w:val="0"/>
                <w:sz w:val="24"/>
                <w:szCs w:val="21"/>
              </w:rPr>
              <w:t>、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2022年1月1日　　</w:t>
            </w:r>
          </w:p>
        </w:tc>
        <w:tc>
          <w:tcPr>
            <w:tcW w:w="2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2022年12月31日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2</w:t>
            </w:r>
            <w:r>
              <w:rPr>
                <w:rFonts w:hint="eastAsia" w:cs="宋体"/>
                <w:kern w:val="0"/>
                <w:sz w:val="24"/>
                <w:szCs w:val="21"/>
              </w:rPr>
              <w:t>、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360" w:firstLineChars="150"/>
              <w:rPr>
                <w:rFonts w:hint="eastAsia"/>
                <w:kern w:val="0"/>
                <w:sz w:val="24"/>
              </w:rPr>
            </w:pPr>
            <w:r>
              <w:rPr>
                <w:rFonts w:hAnsi="宋体" w:eastAsia="黑体" w:cs="宋体"/>
                <w:kern w:val="0"/>
                <w:sz w:val="24"/>
                <w:szCs w:val="21"/>
              </w:rPr>
              <w:t>………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专项长期绩效目标</w:t>
            </w:r>
          </w:p>
        </w:tc>
        <w:tc>
          <w:tcPr>
            <w:tcW w:w="77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ind w:firstLine="420" w:firstLineChars="20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目标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研究制定长效管理措施，实施常态管理等多管齐下，确保“国家卫生县城”成果得到有效巩固。</w:t>
            </w:r>
          </w:p>
          <w:p>
            <w:pPr>
              <w:pStyle w:val="9"/>
              <w:ind w:firstLine="420" w:firstLineChars="20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目标2：全力抓好城区路灯及景观亮化。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专项年度绩效目标</w:t>
            </w:r>
          </w:p>
        </w:tc>
        <w:tc>
          <w:tcPr>
            <w:tcW w:w="77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ind w:firstLine="420" w:firstLineChars="200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目标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研究制定长效管理措施，实施常态管理等多管齐下，确保“国家卫生县城”成果得到有效巩固。</w:t>
            </w:r>
          </w:p>
          <w:p>
            <w:pPr>
              <w:pStyle w:val="9"/>
              <w:ind w:firstLine="420" w:firstLineChars="20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目标2：全力抓好城区路灯及景观亮化。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资金使用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计划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总资金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（万元）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第一季度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第二季度</w:t>
            </w:r>
          </w:p>
        </w:tc>
        <w:tc>
          <w:tcPr>
            <w:tcW w:w="1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第三季度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1"/>
              </w:rPr>
              <w:t>路灯管理维护和电费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280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70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70</w:t>
            </w:r>
          </w:p>
        </w:tc>
        <w:tc>
          <w:tcPr>
            <w:tcW w:w="1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70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690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840" w:hRule="atLeas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专项年度绩效指标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一级指标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二级指标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指标内容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指标值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数量指标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专项业务工作完成率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质量指标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路灯正常运行照明率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时效指标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完成及时性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2022年12月底之前完成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成本指标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路灯管理、维护和电费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</w:rPr>
              <w:t>效益指标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经济效益指标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提高财政资金使用效率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社会效益指标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改善城市人居环境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生态效益指标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不适用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可持续影响指标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城市管理可持续影响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840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满意度指标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社会公众或服务对象满意度指标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使用人员满意度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996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保障措施</w:t>
            </w:r>
          </w:p>
        </w:tc>
        <w:tc>
          <w:tcPr>
            <w:tcW w:w="77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为确保专项实施而制定的制度和措施，如成立的专门管理机构、资金管理办法、项目管理办法、工作措施（方案、规划）等。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trHeight w:val="2769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黑体" w:cs="宋体"/>
                <w:kern w:val="0"/>
                <w:sz w:val="24"/>
                <w:szCs w:val="21"/>
              </w:rPr>
            </w:pPr>
            <w:r>
              <w:rPr>
                <w:rFonts w:hint="eastAsia" w:hAnsi="宋体" w:eastAsia="黑体" w:cs="宋体"/>
                <w:kern w:val="0"/>
                <w:sz w:val="24"/>
                <w:szCs w:val="21"/>
              </w:rPr>
              <w:t>财政部门审核意见</w:t>
            </w:r>
          </w:p>
        </w:tc>
        <w:tc>
          <w:tcPr>
            <w:tcW w:w="77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 xml:space="preserve">                                                             </w:t>
            </w:r>
            <w:r>
              <w:rPr>
                <w:rFonts w:hint="eastAsia" w:cs="宋体"/>
                <w:kern w:val="0"/>
                <w:sz w:val="24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jc w:val="right"/>
              <w:rPr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年</w:t>
            </w:r>
            <w:r>
              <w:rPr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1"/>
              </w:rPr>
              <w:t>月</w:t>
            </w:r>
            <w:r>
              <w:rPr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1"/>
              </w:rPr>
              <w:t>日</w:t>
            </w:r>
            <w:r>
              <w:rPr>
                <w:kern w:val="0"/>
                <w:sz w:val="24"/>
                <w:szCs w:val="21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shd w:val="clear" w:color="auto" w:fill="FFFFFF"/>
        <w:tabs>
          <w:tab w:val="left" w:pos="3093"/>
          <w:tab w:val="left" w:pos="6493"/>
        </w:tabs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填报人：</w:t>
      </w:r>
      <w:r>
        <w:rPr>
          <w:rFonts w:hint="eastAsia" w:cs="宋体"/>
          <w:kern w:val="0"/>
          <w:sz w:val="24"/>
          <w:szCs w:val="21"/>
          <w:lang w:eastAsia="zh-CN"/>
        </w:rPr>
        <w:t>舒彩辉</w:t>
      </w:r>
      <w:r>
        <w:rPr>
          <w:rFonts w:ascii="宋体" w:hAnsi="宋体" w:cs="宋体"/>
          <w:kern w:val="0"/>
          <w:sz w:val="24"/>
          <w:szCs w:val="21"/>
        </w:rPr>
        <w:tab/>
      </w:r>
      <w:r>
        <w:rPr>
          <w:rFonts w:hint="eastAsia" w:cs="宋体"/>
          <w:kern w:val="0"/>
          <w:sz w:val="24"/>
          <w:szCs w:val="21"/>
        </w:rPr>
        <w:t>联系电话：</w:t>
      </w:r>
      <w:r>
        <w:rPr>
          <w:rFonts w:ascii="宋体" w:hAnsi="宋体" w:cs="宋体"/>
          <w:kern w:val="0"/>
          <w:sz w:val="24"/>
          <w:szCs w:val="21"/>
        </w:rPr>
        <w:tab/>
      </w:r>
      <w:r>
        <w:rPr>
          <w:rFonts w:hint="eastAsia" w:cs="宋体"/>
          <w:kern w:val="0"/>
          <w:sz w:val="24"/>
          <w:szCs w:val="21"/>
        </w:rPr>
        <w:t>填报日期：</w:t>
      </w:r>
    </w:p>
    <w:p/>
    <w:p/>
    <w:p/>
    <w:p>
      <w:pPr>
        <w:widowControl/>
        <w:shd w:val="clear" w:color="auto" w:fill="FFFFFF"/>
        <w:spacing w:line="560" w:lineRule="exact"/>
        <w:jc w:val="center"/>
        <w:rPr>
          <w:rFonts w:hint="eastAsia" w:ascii="方正大标宋简体" w:hAnsi="宋体" w:eastAsia="方正大标宋简体" w:cs="宋体"/>
          <w:spacing w:val="-6"/>
          <w:kern w:val="0"/>
          <w:sz w:val="36"/>
          <w:szCs w:val="36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大标宋简体" w:hAnsi="宋体" w:eastAsia="方正大标宋简体" w:cs="宋体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靖州县财政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  <w:lang w:eastAsia="zh-CN"/>
        </w:rPr>
        <w:t>专项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支出项目预算绩效目标申报表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大标宋简体" w:hAnsi="宋体" w:eastAsia="方正大标宋简体" w:cs="宋体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（202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大标宋简体" w:hAnsi="宋体" w:eastAsia="方正大标宋简体" w:cs="宋体"/>
          <w:kern w:val="0"/>
          <w:sz w:val="36"/>
          <w:szCs w:val="36"/>
        </w:rPr>
        <w:t>年度）</w:t>
      </w:r>
    </w:p>
    <w:p>
      <w:pPr>
        <w:widowControl/>
        <w:shd w:val="clear" w:color="auto" w:fill="FFFFFF"/>
        <w:tabs>
          <w:tab w:val="left" w:pos="1913"/>
          <w:tab w:val="left" w:pos="3933"/>
          <w:tab w:val="left" w:pos="5413"/>
          <w:tab w:val="left" w:pos="6733"/>
          <w:tab w:val="left" w:pos="7900"/>
        </w:tabs>
        <w:spacing w:line="560" w:lineRule="exact"/>
        <w:ind w:left="93"/>
        <w:jc w:val="left"/>
        <w:rPr>
          <w:b/>
          <w:kern w:val="0"/>
          <w:sz w:val="28"/>
          <w:szCs w:val="28"/>
        </w:rPr>
      </w:pPr>
      <w:r>
        <w:rPr>
          <w:rFonts w:hint="eastAsia" w:hAnsi="宋体" w:cs="宋体"/>
          <w:b/>
          <w:kern w:val="0"/>
          <w:sz w:val="28"/>
          <w:szCs w:val="28"/>
        </w:rPr>
        <w:t>填报单位（盖章）</w:t>
      </w:r>
      <w:r>
        <w:rPr>
          <w:rFonts w:hint="eastAsia" w:hAnsi="宋体" w:cs="宋体"/>
          <w:b/>
          <w:kern w:val="0"/>
          <w:sz w:val="28"/>
          <w:szCs w:val="28"/>
          <w:lang w:eastAsia="zh-CN"/>
        </w:rPr>
        <w:t>：机关事务中心</w:t>
      </w:r>
      <w:r>
        <w:rPr>
          <w:b/>
          <w:kern w:val="0"/>
          <w:sz w:val="28"/>
          <w:szCs w:val="28"/>
        </w:rPr>
        <w:tab/>
      </w:r>
      <w:r>
        <w:rPr>
          <w:b/>
          <w:kern w:val="0"/>
          <w:sz w:val="28"/>
          <w:szCs w:val="28"/>
        </w:rPr>
        <w:tab/>
      </w:r>
      <w:r>
        <w:rPr>
          <w:b/>
          <w:kern w:val="0"/>
          <w:sz w:val="28"/>
          <w:szCs w:val="28"/>
        </w:rPr>
        <w:tab/>
      </w:r>
      <w:r>
        <w:rPr>
          <w:b/>
          <w:kern w:val="0"/>
          <w:sz w:val="28"/>
          <w:szCs w:val="28"/>
        </w:rPr>
        <w:tab/>
      </w:r>
    </w:p>
    <w:tbl>
      <w:tblPr>
        <w:tblStyle w:val="6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908"/>
        <w:gridCol w:w="360"/>
        <w:gridCol w:w="916"/>
        <w:gridCol w:w="1950"/>
        <w:gridCol w:w="460"/>
        <w:gridCol w:w="850"/>
        <w:gridCol w:w="993"/>
        <w:gridCol w:w="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电力改造经费</w:t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新增项目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</w:rPr>
              <w:t>☑</w:t>
            </w:r>
            <w:r>
              <w:rPr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>延续项目</w:t>
            </w:r>
            <w:r>
              <w:rPr>
                <w:kern w:val="0"/>
                <w:sz w:val="21"/>
                <w:szCs w:val="21"/>
              </w:rPr>
              <w:t xml:space="preserve">□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　政府办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主管部门编码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/>
              </w:rPr>
              <w:t>111</w:t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项目单位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机关事务中心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　石丽萍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项目起止时间</w:t>
            </w:r>
          </w:p>
        </w:tc>
        <w:tc>
          <w:tcPr>
            <w:tcW w:w="7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2022年1月--2022年12月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项目资金申请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7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资金总额：70万元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一、财政拨款：70万元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二、自有资金：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三、其他：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项目概况</w:t>
            </w:r>
          </w:p>
        </w:tc>
        <w:tc>
          <w:tcPr>
            <w:tcW w:w="7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解决院内电力线路老化、混乱，居民用电全部分解到户，移交电力公司管理，办公区继续延用原专变供电，原有线路更换，确保机关大院办公正常用电。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项目立项情况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项目立项的依据</w:t>
            </w:r>
          </w:p>
        </w:tc>
        <w:tc>
          <w:tcPr>
            <w:tcW w:w="5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　2022年2月17日县长召开的电力相关工作调度会（会议纪要）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项目申报的可行性</w:t>
            </w:r>
          </w:p>
        </w:tc>
        <w:tc>
          <w:tcPr>
            <w:tcW w:w="5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　由电力公司实地勘察，做出相关的科学、合理的设计，在不影响办公的条件下，对院内电力进行施工建设。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项目申报的必要性</w:t>
            </w:r>
          </w:p>
        </w:tc>
        <w:tc>
          <w:tcPr>
            <w:tcW w:w="5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210" w:firstLineChars="10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该项目建设采用分户到位，分类供电，按供电要求分类计价。　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项目实施进度计划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项目实施内容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开始时间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完成时间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完成院内配电、电线路线改迁，及配电房新建。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2022年1月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　2022年12月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项目绩效目标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长期目标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年度目标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确保机关大院办公正常用电。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指标内容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备注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改造工程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数量完成率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竣工验收合格率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项目按期完成率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电力改造经费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≤70万元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有益于院内办公用电安全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用电安全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保障单位正常运转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效果明显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cs="宋体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不适用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 w:val="21"/>
                <w:szCs w:val="21"/>
                <w:lang w:val="en-US" w:eastAsia="zh-CN"/>
              </w:rPr>
              <w:t>不适用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spacing w:val="-6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院内办公及居民的用电稳定性得到提升。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有效提升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spacing w:val="-6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</w:rPr>
              <w:t>干部职工使用满意度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仿宋_GB2312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≥90%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其他需说明的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问  题</w:t>
            </w:r>
          </w:p>
        </w:tc>
        <w:tc>
          <w:tcPr>
            <w:tcW w:w="7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预算部门审核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意  见</w:t>
            </w:r>
          </w:p>
        </w:tc>
        <w:tc>
          <w:tcPr>
            <w:tcW w:w="743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ind w:firstLine="4830" w:firstLineChars="2300"/>
              <w:rPr>
                <w:rFonts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ind w:firstLine="4830" w:firstLineChars="2300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3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tabs>
          <w:tab w:val="left" w:pos="1725"/>
          <w:tab w:val="left" w:pos="3660"/>
          <w:tab w:val="left" w:pos="5718"/>
          <w:tab w:val="left" w:pos="6938"/>
          <w:tab w:val="left" w:pos="8139"/>
        </w:tabs>
        <w:jc w:val="left"/>
        <w:rPr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 xml:space="preserve">  填报人：石丽萍   </w:t>
      </w:r>
      <w:r>
        <w:rPr>
          <w:rFonts w:hint="eastAsia" w:cs="宋体"/>
          <w:kern w:val="0"/>
          <w:sz w:val="24"/>
          <w:szCs w:val="21"/>
          <w:lang w:val="en-US" w:eastAsia="zh-CN"/>
        </w:rPr>
        <w:t xml:space="preserve">   </w:t>
      </w:r>
      <w:r>
        <w:rPr>
          <w:rFonts w:hint="eastAsia" w:cs="宋体"/>
          <w:kern w:val="0"/>
          <w:sz w:val="24"/>
          <w:szCs w:val="21"/>
        </w:rPr>
        <w:t xml:space="preserve"> 联系电话：</w:t>
      </w:r>
      <w:r>
        <w:rPr>
          <w:rFonts w:hint="eastAsia" w:cs="宋体"/>
          <w:kern w:val="0"/>
          <w:sz w:val="24"/>
          <w:szCs w:val="21"/>
          <w:lang w:val="en-US" w:eastAsia="zh-CN"/>
        </w:rPr>
        <w:t xml:space="preserve">           </w:t>
      </w:r>
      <w:r>
        <w:rPr>
          <w:rFonts w:hint="eastAsia" w:cs="宋体"/>
          <w:kern w:val="0"/>
          <w:sz w:val="24"/>
          <w:szCs w:val="21"/>
        </w:rPr>
        <w:t>填报日期：</w:t>
      </w:r>
      <w:r>
        <w:rPr>
          <w:kern w:val="0"/>
          <w:sz w:val="24"/>
          <w:szCs w:val="21"/>
        </w:rPr>
        <w:tab/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10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ZDlkMmNjZWUxODgyOWU3ZGM1YTNiZTk5ZDEyNzEifQ=="/>
  </w:docVars>
  <w:rsids>
    <w:rsidRoot w:val="0A07342C"/>
    <w:rsid w:val="0A07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99"/>
    <w:pPr>
      <w:spacing w:before="100" w:beforeAutospacing="1"/>
      <w:ind w:firstLine="420" w:firstLineChars="200"/>
    </w:pPr>
  </w:style>
  <w:style w:type="character" w:styleId="8">
    <w:name w:val="page number"/>
    <w:basedOn w:val="7"/>
    <w:qFormat/>
    <w:uiPriority w:val="0"/>
  </w:style>
  <w:style w:type="paragraph" w:styleId="9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2023-09-08T12:02:00Z</dcterms:created>
  <dc:creator>纯haha</dc:creator>
  <cp:lastModifiedBy>纯haha</cp:lastModifiedBy>
  <dcterms:modified xsi:type="dcterms:W3CDTF">2023-09-08T12:34:01Z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DCA66EABAB9848B0AFEF677D542F5A21_11</vt:lpwstr>
  </property>
</Properties>
</file>