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48"/>
          <w:szCs w:val="48"/>
        </w:rPr>
      </w:pPr>
      <w:r>
        <w:rPr>
          <w:rFonts w:hint="eastAsia" w:ascii="黑体" w:hAnsi="黑体" w:eastAsia="黑体" w:cs="黑体"/>
          <w:b/>
          <w:bCs/>
          <w:sz w:val="48"/>
          <w:szCs w:val="48"/>
          <w:lang w:val="en-US" w:eastAsia="zh-CN"/>
        </w:rPr>
        <w:t>靖州县2021年</w:t>
      </w:r>
      <w:bookmarkStart w:id="1" w:name="_GoBack"/>
      <w:bookmarkEnd w:id="1"/>
      <w:r>
        <w:rPr>
          <w:rFonts w:hint="eastAsia" w:ascii="黑体" w:hAnsi="黑体" w:eastAsia="黑体" w:cs="黑体"/>
          <w:b/>
          <w:bCs/>
          <w:sz w:val="48"/>
          <w:szCs w:val="48"/>
        </w:rPr>
        <w:t>专项资金重点绩效</w:t>
      </w:r>
      <w:r>
        <w:rPr>
          <w:rFonts w:hint="eastAsia" w:ascii="黑体" w:hAnsi="黑体" w:eastAsia="黑体" w:cs="黑体"/>
          <w:b/>
          <w:bCs/>
          <w:sz w:val="48"/>
          <w:szCs w:val="48"/>
          <w:lang w:val="en-US" w:eastAsia="zh-CN"/>
        </w:rPr>
        <w:t>执行结果</w:t>
      </w:r>
      <w:r>
        <w:rPr>
          <w:rFonts w:hint="eastAsia" w:ascii="黑体" w:hAnsi="黑体" w:eastAsia="黑体" w:cs="黑体"/>
          <w:b/>
          <w:bCs/>
          <w:sz w:val="48"/>
          <w:szCs w:val="48"/>
        </w:rPr>
        <w:t>评价</w:t>
      </w:r>
    </w:p>
    <w:p>
      <w:pPr>
        <w:pStyle w:val="2"/>
        <w:numPr>
          <w:ilvl w:val="2"/>
          <w:numId w:val="0"/>
        </w:numPr>
        <w:ind w:leftChars="0"/>
        <w:rPr>
          <w:rFonts w:hint="default"/>
          <w:lang w:val="en-US" w:eastAsia="zh-CN"/>
        </w:rPr>
      </w:pPr>
    </w:p>
    <w:p>
      <w:pPr>
        <w:pStyle w:val="8"/>
        <w:numPr>
          <w:ilvl w:val="0"/>
          <w:numId w:val="2"/>
        </w:numPr>
        <w:spacing w:line="360" w:lineRule="auto"/>
        <w:ind w:firstLineChars="0"/>
        <w:outlineLvl w:val="0"/>
        <w:rPr>
          <w:rFonts w:ascii="黑体" w:hAnsi="黑体" w:eastAsia="黑体"/>
          <w:b/>
          <w:bCs/>
          <w:sz w:val="32"/>
          <w:szCs w:val="32"/>
        </w:rPr>
      </w:pPr>
      <w:r>
        <w:rPr>
          <w:rFonts w:hint="eastAsia" w:ascii="黑体" w:hAnsi="黑体" w:eastAsia="黑体"/>
          <w:b/>
          <w:bCs/>
          <w:sz w:val="32"/>
          <w:szCs w:val="32"/>
        </w:rPr>
        <w:t>项目基本情况</w:t>
      </w:r>
      <w:r>
        <w:rPr>
          <w:rFonts w:hint="eastAsia" w:ascii="黑体" w:hAnsi="黑体" w:eastAsia="黑体"/>
          <w:b/>
          <w:bCs/>
          <w:sz w:val="32"/>
          <w:szCs w:val="32"/>
          <w:lang w:eastAsia="zh-CN"/>
        </w:rPr>
        <w:t>：</w:t>
      </w:r>
    </w:p>
    <w:p>
      <w:pPr>
        <w:spacing w:line="360" w:lineRule="auto"/>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2021年靖州县财政局成立了绩效评价小组对靖州县2020年度3个专项进行重点绩效评价；包括“靖州县市场监督管理局2020年年度部门整体支出”，“靖州县林业局2020年森林生态效益林补偿专项资金”，“靖州县人力资源和社会保障局2020年扶持公共就业服务本级配套专项资金”，金额总计2919.15万元。</w:t>
      </w:r>
    </w:p>
    <w:p>
      <w:pPr>
        <w:pStyle w:val="8"/>
        <w:numPr>
          <w:ilvl w:val="0"/>
          <w:numId w:val="2"/>
        </w:numPr>
        <w:spacing w:line="360" w:lineRule="auto"/>
        <w:ind w:firstLineChars="0"/>
        <w:outlineLvl w:val="0"/>
        <w:rPr>
          <w:rFonts w:ascii="黑体" w:hAnsi="黑体" w:eastAsia="黑体"/>
          <w:b/>
          <w:bCs/>
          <w:sz w:val="32"/>
          <w:szCs w:val="32"/>
        </w:rPr>
      </w:pPr>
      <w:r>
        <w:rPr>
          <w:rFonts w:hint="eastAsia" w:ascii="黑体" w:hAnsi="黑体" w:eastAsia="黑体"/>
          <w:b/>
          <w:bCs/>
          <w:sz w:val="32"/>
          <w:szCs w:val="32"/>
        </w:rPr>
        <w:t>主要问题及建议措施</w:t>
      </w:r>
    </w:p>
    <w:p>
      <w:pPr>
        <w:pStyle w:val="8"/>
        <w:numPr>
          <w:ilvl w:val="0"/>
          <w:numId w:val="3"/>
        </w:numPr>
        <w:spacing w:line="360" w:lineRule="auto"/>
        <w:ind w:left="720" w:firstLine="0" w:firstLineChars="0"/>
        <w:outlineLvl w:val="1"/>
        <w:rPr>
          <w:rFonts w:hint="eastAsia" w:ascii="仿宋" w:hAnsi="仿宋" w:eastAsia="仿宋" w:cs="Arial"/>
          <w:b/>
          <w:bCs/>
          <w:sz w:val="30"/>
          <w:szCs w:val="30"/>
        </w:rPr>
      </w:pPr>
      <w:r>
        <w:rPr>
          <w:rFonts w:hint="eastAsia" w:ascii="仿宋" w:hAnsi="仿宋" w:eastAsia="仿宋" w:cs="Arial"/>
          <w:b/>
          <w:bCs/>
          <w:sz w:val="30"/>
          <w:szCs w:val="30"/>
          <w:lang w:val="en-US" w:eastAsia="zh-CN"/>
        </w:rPr>
        <w:t>各</w:t>
      </w:r>
      <w:r>
        <w:rPr>
          <w:rFonts w:hint="eastAsia" w:ascii="仿宋" w:hAnsi="仿宋" w:eastAsia="仿宋" w:cs="Arial"/>
          <w:b/>
          <w:bCs/>
          <w:sz w:val="30"/>
          <w:szCs w:val="30"/>
        </w:rPr>
        <w:t>项目</w:t>
      </w:r>
      <w:r>
        <w:rPr>
          <w:rFonts w:hint="eastAsia" w:ascii="仿宋" w:hAnsi="仿宋" w:eastAsia="仿宋" w:cs="Arial"/>
          <w:b/>
          <w:bCs/>
          <w:sz w:val="30"/>
          <w:szCs w:val="30"/>
          <w:lang w:val="en-US" w:eastAsia="zh-CN"/>
        </w:rPr>
        <w:t>存在</w:t>
      </w:r>
      <w:r>
        <w:rPr>
          <w:rFonts w:hint="eastAsia" w:ascii="仿宋" w:hAnsi="仿宋" w:eastAsia="仿宋" w:cs="Arial"/>
          <w:b/>
          <w:bCs/>
          <w:sz w:val="30"/>
          <w:szCs w:val="30"/>
        </w:rPr>
        <w:t>的问题</w:t>
      </w:r>
      <w:r>
        <w:rPr>
          <w:rFonts w:hint="eastAsia" w:ascii="仿宋" w:hAnsi="仿宋" w:eastAsia="仿宋" w:cs="Arial"/>
          <w:b/>
          <w:bCs/>
          <w:sz w:val="30"/>
          <w:szCs w:val="30"/>
          <w:lang w:eastAsia="zh-CN"/>
        </w:rPr>
        <w:t>：</w:t>
      </w:r>
    </w:p>
    <w:p>
      <w:pPr>
        <w:pStyle w:val="8"/>
        <w:numPr>
          <w:ilvl w:val="0"/>
          <w:numId w:val="0"/>
        </w:numPr>
        <w:spacing w:line="360" w:lineRule="auto"/>
        <w:ind w:left="720" w:leftChars="0"/>
        <w:outlineLvl w:val="1"/>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项目一林业局森林生态效益林补偿专项资金：</w:t>
      </w:r>
    </w:p>
    <w:p>
      <w:pPr>
        <w:spacing w:line="360" w:lineRule="auto"/>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1.人事信息管理欠佳，有些人事变更信息保存不及时，导致付款时无法支付，影响进度。</w:t>
      </w:r>
    </w:p>
    <w:p>
      <w:pPr>
        <w:spacing w:line="360" w:lineRule="auto"/>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2.涉及地广阔，地点多，在病虫害防治、资源调查及监测时，难度较大。</w:t>
      </w:r>
    </w:p>
    <w:p>
      <w:pPr>
        <w:spacing w:line="360" w:lineRule="auto"/>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解决措施：1.加强对补偿人员的人事管理及补贴面积对应的金额统计，避免错发漏发。2.加强对报账流程的熟悉，及时准备好报账所需要的各种资料附件。</w:t>
      </w:r>
    </w:p>
    <w:p>
      <w:pPr>
        <w:spacing w:line="360" w:lineRule="auto"/>
        <w:ind w:firstLine="640" w:firstLineChars="200"/>
        <w:rPr>
          <w:rFonts w:hint="eastAsia" w:ascii="仿宋" w:hAnsi="仿宋" w:eastAsia="仿宋" w:cstheme="minorBidi"/>
          <w:kern w:val="2"/>
          <w:sz w:val="32"/>
          <w:szCs w:val="32"/>
          <w:lang w:val="en-US" w:eastAsia="zh-CN" w:bidi="ar-SA"/>
        </w:rPr>
      </w:pPr>
      <w:bookmarkStart w:id="0" w:name="_bookmark21"/>
      <w:bookmarkEnd w:id="0"/>
      <w:r>
        <w:rPr>
          <w:rFonts w:hint="eastAsia" w:ascii="仿宋" w:hAnsi="仿宋" w:eastAsia="仿宋" w:cstheme="minorBidi"/>
          <w:kern w:val="2"/>
          <w:sz w:val="32"/>
          <w:szCs w:val="32"/>
          <w:lang w:val="en-US" w:eastAsia="zh-CN" w:bidi="ar-SA"/>
        </w:rPr>
        <w:t>项目二人力资源和社会保障局扶持公共就业服务配套专项资金：</w:t>
      </w:r>
    </w:p>
    <w:p>
      <w:pPr>
        <w:spacing w:line="360" w:lineRule="auto"/>
        <w:ind w:firstLine="640" w:firstLineChars="20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1.未建立专项资金管理制度。</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cstheme="minorBidi"/>
          <w:kern w:val="2"/>
          <w:sz w:val="32"/>
          <w:szCs w:val="32"/>
          <w:lang w:val="en-US" w:eastAsia="zh-CN" w:bidi="ar-SA"/>
        </w:rPr>
        <w:t>2.预算安排不够精细，未对设备、网络建设等支出的资金安</w:t>
      </w:r>
      <w:r>
        <w:rPr>
          <w:rFonts w:hint="eastAsia" w:ascii="仿宋" w:hAnsi="仿宋" w:eastAsia="仿宋"/>
          <w:sz w:val="32"/>
          <w:szCs w:val="32"/>
          <w:lang w:val="en-US" w:eastAsia="zh-CN"/>
        </w:rPr>
        <w:t>排进行细分，导致预算资金偏高，资金安排到位率只有59.4%。</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解决措施：1.财务应建立专项资金管理制度。2.加强预算管理，对于预算资金进行精细化管理，保证实际执行预算与预算安排基本合理。</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ab/>
      </w:r>
      <w:r>
        <w:rPr>
          <w:rFonts w:hint="eastAsia" w:ascii="仿宋" w:hAnsi="仿宋" w:eastAsia="仿宋"/>
          <w:sz w:val="32"/>
          <w:szCs w:val="32"/>
          <w:lang w:val="en-US" w:eastAsia="zh-CN"/>
        </w:rPr>
        <w:t>项目三市场监督管理局2020年年度部门整体支出：</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ab/>
      </w:r>
      <w:r>
        <w:rPr>
          <w:rFonts w:hint="eastAsia" w:ascii="仿宋" w:hAnsi="仿宋" w:eastAsia="仿宋"/>
          <w:sz w:val="32"/>
          <w:szCs w:val="32"/>
          <w:lang w:val="en-US" w:eastAsia="zh-CN"/>
        </w:rPr>
        <w:t>1.资金支付依据不足。靖州县市场监督管理局支付东莞市中鼎检测技术有限公司检测款497000.00元，根据合同约定需提供东莞市中鼎检测技术有限公司此次检测相关的费用清单、发票，靖州县市场监督管理局才支付款项，凭证附件有发票但无费用清单。</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2.16个乡镇（便民服务中心）市场监督管理所负责的区域广，责任大。在目前人员编制的情况下，做不到科学合理的进行日常监管工作。</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3.办公用品台账登记不完整，经查阅办公用品台账，只有领用记录，无购进办公用品的记录。</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4.公务卡刷卡率低，除财政直接支付外，其他支付普遍以现金支付为主，没有通过公务卡刷卡消费。</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5.往来长期挂账，未及时清理。其他应收款中共有8个往来单位，金额合计183625.04元，账龄三年以上。</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解决办法：1.加强资金支付监管，符合公务卡刷卡条件的一律采用公务卡刷卡支付。对报销附件不全的开支，财务人员应按会计法要求，不予支付。</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2.在目前人员编制的情况下，增加基层工作人员比重，进行乡镇日常监管工作。</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要加强往来清理，对于长期未归还的往来款，应查清原因、落实责任后，确定责任人负责收回，确保财政资金安全使用，对于确实无法收回的，应在征求相关部门同意后作相应的账务处理。未使用财政资金应及时归还财政。</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4.完善固定资产管理制度，按期进行盘点，做到账实、账卡、账账相符，完整编制资产登记信息，将资产管理责任落实到岗位和人员，充分发挥资产使用效益，避免资产闲置和浪费。</w:t>
      </w:r>
    </w:p>
    <w:p>
      <w:pPr>
        <w:spacing w:line="360" w:lineRule="auto"/>
        <w:ind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 w:hAnsi="仿宋" w:eastAsia="仿宋"/>
          <w:sz w:val="32"/>
          <w:szCs w:val="32"/>
          <w:lang w:val="en-US" w:eastAsia="zh-CN"/>
        </w:rPr>
        <w:tab/>
      </w:r>
      <w:r>
        <w:rPr>
          <w:rFonts w:hint="eastAsia" w:ascii="仿宋" w:hAnsi="仿宋" w:eastAsia="仿宋"/>
          <w:sz w:val="32"/>
          <w:szCs w:val="32"/>
          <w:lang w:val="en-US" w:eastAsia="zh-CN"/>
        </w:rPr>
        <w:t>5.做好办公用品的收发存登记，确保办公用品账实相符。</w:t>
      </w: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p>
    <w:p>
      <w:pPr>
        <w:widowControl/>
        <w:kinsoku w:val="0"/>
        <w:autoSpaceDE w:val="0"/>
        <w:autoSpaceDN w:val="0"/>
        <w:adjustRightInd w:val="0"/>
        <w:snapToGrid w:val="0"/>
        <w:spacing w:line="360" w:lineRule="auto"/>
        <w:ind w:left="22" w:firstLine="560"/>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靖州县财政局</w:t>
      </w:r>
    </w:p>
    <w:p>
      <w:pPr>
        <w:widowControl/>
        <w:kinsoku w:val="0"/>
        <w:autoSpaceDE w:val="0"/>
        <w:autoSpaceDN w:val="0"/>
        <w:adjustRightInd w:val="0"/>
        <w:snapToGrid w:val="0"/>
        <w:spacing w:line="360" w:lineRule="auto"/>
        <w:ind w:left="22" w:firstLine="560"/>
        <w:textAlignment w:val="baseline"/>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2022年1月7日</w:t>
      </w:r>
    </w:p>
    <w:p>
      <w:pPr>
        <w:spacing w:line="360" w:lineRule="auto"/>
        <w:ind w:firstLine="600" w:firstLineChars="200"/>
        <w:rPr>
          <w:rFonts w:hint="eastAsia" w:ascii="仿宋" w:hAnsi="仿宋" w:eastAsia="仿宋"/>
          <w:sz w:val="30"/>
          <w:szCs w:val="30"/>
          <w:lang w:val="en-US" w:eastAsia="zh-CN"/>
        </w:rPr>
      </w:pPr>
    </w:p>
    <w:p>
      <w:pPr>
        <w:pStyle w:val="8"/>
        <w:spacing w:line="360" w:lineRule="auto"/>
        <w:ind w:left="720" w:firstLine="0" w:firstLineChars="0"/>
        <w:rPr>
          <w:rFonts w:ascii="黑体" w:hAnsi="黑体" w:eastAsia="黑体"/>
          <w:b/>
          <w:bCs/>
          <w:sz w:val="32"/>
          <w:szCs w:val="32"/>
        </w:rPr>
      </w:pPr>
    </w:p>
    <w:sectPr>
      <w:footerReference r:id="rId3" w:type="default"/>
      <w:pgSz w:w="11906" w:h="16838"/>
      <w:pgMar w:top="1440" w:right="1797" w:bottom="1440" w:left="1797" w:header="851" w:footer="992" w:gutter="0"/>
      <w:cols w:space="425" w:num="1"/>
      <w:docGrid w:linePitch="634" w:charSpace="17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847577"/>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EE93C"/>
    <w:multiLevelType w:val="singleLevel"/>
    <w:tmpl w:val="CF1EE93C"/>
    <w:lvl w:ilvl="0" w:tentative="0">
      <w:start w:val="1"/>
      <w:numFmt w:val="chineseCounting"/>
      <w:suff w:val="nothing"/>
      <w:lvlText w:val="（%1）"/>
      <w:lvlJc w:val="left"/>
      <w:rPr>
        <w:rFonts w:hint="eastAsia"/>
      </w:rPr>
    </w:lvl>
  </w:abstractNum>
  <w:abstractNum w:abstractNumId="1">
    <w:nsid w:val="1F44254B"/>
    <w:multiLevelType w:val="multilevel"/>
    <w:tmpl w:val="1F44254B"/>
    <w:lvl w:ilvl="0" w:tentative="0">
      <w:start w:val="2"/>
      <w:numFmt w:val="decimal"/>
      <w:lvlText w:val="%1"/>
      <w:lvlJc w:val="left"/>
      <w:pPr>
        <w:tabs>
          <w:tab w:val="left" w:pos="432"/>
        </w:tabs>
        <w:ind w:left="432" w:hanging="432"/>
      </w:pPr>
      <w:rPr>
        <w:rFonts w:hint="eastAsia"/>
      </w:rPr>
    </w:lvl>
    <w:lvl w:ilvl="1" w:tentative="0">
      <w:start w:val="1"/>
      <w:numFmt w:val="decimal"/>
      <w:lvlText w:val="%2"/>
      <w:lvlJc w:val="left"/>
      <w:pPr>
        <w:tabs>
          <w:tab w:val="left" w:pos="576"/>
        </w:tabs>
        <w:ind w:left="576" w:hanging="576"/>
      </w:pPr>
      <w:rPr>
        <w:rFonts w:ascii="Times New Roman" w:hAnsi="Times New Roman" w:eastAsia="Times New Roman" w:cs="Times New Roman"/>
      </w:rPr>
    </w:lvl>
    <w:lvl w:ilvl="2" w:tentative="0">
      <w:start w:val="1"/>
      <w:numFmt w:val="decimal"/>
      <w:pStyle w:val="2"/>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582204C"/>
    <w:multiLevelType w:val="multilevel"/>
    <w:tmpl w:val="5582204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RmYzAxZDhmMWZiMjdlZDAxYWJlMjk1Mjk4ZjlhODEifQ=="/>
  </w:docVars>
  <w:rsids>
    <w:rsidRoot w:val="009F226D"/>
    <w:rsid w:val="0000007A"/>
    <w:rsid w:val="00000B0C"/>
    <w:rsid w:val="00032E81"/>
    <w:rsid w:val="00044229"/>
    <w:rsid w:val="000F4DB1"/>
    <w:rsid w:val="000F5D65"/>
    <w:rsid w:val="00115AE3"/>
    <w:rsid w:val="001427EC"/>
    <w:rsid w:val="00194EC1"/>
    <w:rsid w:val="002E08BB"/>
    <w:rsid w:val="0043041F"/>
    <w:rsid w:val="00447594"/>
    <w:rsid w:val="004B1236"/>
    <w:rsid w:val="004D4977"/>
    <w:rsid w:val="004E0B94"/>
    <w:rsid w:val="005627CB"/>
    <w:rsid w:val="0058328D"/>
    <w:rsid w:val="0062754E"/>
    <w:rsid w:val="00631F7D"/>
    <w:rsid w:val="006A40FC"/>
    <w:rsid w:val="00704FAE"/>
    <w:rsid w:val="00713096"/>
    <w:rsid w:val="00733264"/>
    <w:rsid w:val="007A7461"/>
    <w:rsid w:val="007B6459"/>
    <w:rsid w:val="007D2B63"/>
    <w:rsid w:val="0089349B"/>
    <w:rsid w:val="00894B9A"/>
    <w:rsid w:val="00936137"/>
    <w:rsid w:val="00957BD7"/>
    <w:rsid w:val="009622D3"/>
    <w:rsid w:val="00967042"/>
    <w:rsid w:val="009F226D"/>
    <w:rsid w:val="00A05C49"/>
    <w:rsid w:val="00A67661"/>
    <w:rsid w:val="00AB5BD7"/>
    <w:rsid w:val="00AF16EA"/>
    <w:rsid w:val="00B01454"/>
    <w:rsid w:val="00B813F5"/>
    <w:rsid w:val="00C175EE"/>
    <w:rsid w:val="00C3380D"/>
    <w:rsid w:val="00C3523F"/>
    <w:rsid w:val="00C40B97"/>
    <w:rsid w:val="00C5430C"/>
    <w:rsid w:val="00D032C5"/>
    <w:rsid w:val="00D12FAD"/>
    <w:rsid w:val="00D31EED"/>
    <w:rsid w:val="00D759FF"/>
    <w:rsid w:val="00D77F2F"/>
    <w:rsid w:val="00D953EB"/>
    <w:rsid w:val="00DB4CEB"/>
    <w:rsid w:val="00DF0338"/>
    <w:rsid w:val="00E02191"/>
    <w:rsid w:val="00E701E1"/>
    <w:rsid w:val="00E90140"/>
    <w:rsid w:val="017C6D0A"/>
    <w:rsid w:val="03885E3A"/>
    <w:rsid w:val="055A3B91"/>
    <w:rsid w:val="079F4C9B"/>
    <w:rsid w:val="09723EBB"/>
    <w:rsid w:val="0D766D04"/>
    <w:rsid w:val="0F89627F"/>
    <w:rsid w:val="121D3BF2"/>
    <w:rsid w:val="19F416DC"/>
    <w:rsid w:val="1B304996"/>
    <w:rsid w:val="1D395A93"/>
    <w:rsid w:val="1F9B1379"/>
    <w:rsid w:val="23362D65"/>
    <w:rsid w:val="24A66AD5"/>
    <w:rsid w:val="292C7534"/>
    <w:rsid w:val="2ADE7F6A"/>
    <w:rsid w:val="2D271370"/>
    <w:rsid w:val="2DBD620B"/>
    <w:rsid w:val="31C66276"/>
    <w:rsid w:val="322A7F39"/>
    <w:rsid w:val="34EA2D01"/>
    <w:rsid w:val="34FA0097"/>
    <w:rsid w:val="383E64EC"/>
    <w:rsid w:val="3B626996"/>
    <w:rsid w:val="3E5A7DF8"/>
    <w:rsid w:val="42FE51F6"/>
    <w:rsid w:val="43BA373D"/>
    <w:rsid w:val="46796BB1"/>
    <w:rsid w:val="4835125A"/>
    <w:rsid w:val="4B7145D4"/>
    <w:rsid w:val="4D362A73"/>
    <w:rsid w:val="51A248EE"/>
    <w:rsid w:val="542856B7"/>
    <w:rsid w:val="56A57230"/>
    <w:rsid w:val="5BCB1B66"/>
    <w:rsid w:val="5BEE2D43"/>
    <w:rsid w:val="5E8B6A61"/>
    <w:rsid w:val="60F65306"/>
    <w:rsid w:val="62A74555"/>
    <w:rsid w:val="665F7066"/>
    <w:rsid w:val="681037F1"/>
    <w:rsid w:val="6DB24ECA"/>
    <w:rsid w:val="6DD30EA9"/>
    <w:rsid w:val="703F5E7C"/>
    <w:rsid w:val="73F27946"/>
    <w:rsid w:val="79073098"/>
    <w:rsid w:val="7975586B"/>
    <w:rsid w:val="7A74153F"/>
    <w:rsid w:val="7B207276"/>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1115</Words>
  <Characters>1185</Characters>
  <Lines>59</Lines>
  <Paragraphs>16</Paragraphs>
  <TotalTime>9</TotalTime>
  <ScaleCrop>false</ScaleCrop>
  <LinksUpToDate>false</LinksUpToDate>
  <CharactersWithSpaces>1262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2022-01-10T01:33:00Z</dcterms:created>
  <dc:creator>li li</dc:creator>
  <cp:lastModifiedBy>Tangyp</cp:lastModifiedBy>
  <dcterms:modified xsi:type="dcterms:W3CDTF">2022-09-09T09:09:30Z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6E12C38A29B541908EF25EC641579C9C</vt:lpwstr>
  </property>
</Properties>
</file>