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</w:rPr>
        <w:t>21</w:t>
      </w:r>
      <w:r>
        <w:rPr>
          <w:rFonts w:eastAsia="方正小标宋_GBK"/>
          <w:sz w:val="44"/>
          <w:szCs w:val="44"/>
        </w:rPr>
        <w:t>年预算重要事项解释说明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一、20</w:t>
      </w:r>
      <w:r>
        <w:rPr>
          <w:rFonts w:hint="eastAsia" w:eastAsia="黑体"/>
          <w:sz w:val="32"/>
          <w:szCs w:val="32"/>
        </w:rPr>
        <w:t>21</w:t>
      </w:r>
      <w:r>
        <w:rPr>
          <w:rFonts w:eastAsia="黑体"/>
          <w:sz w:val="32"/>
          <w:szCs w:val="32"/>
        </w:rPr>
        <w:t>年一般公共预算收入预算说明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年一般公共预算地方收入按增长</w:t>
      </w:r>
      <w:r>
        <w:rPr>
          <w:rFonts w:hint="eastAsia" w:eastAsia="仿宋_GB2312"/>
          <w:sz w:val="32"/>
          <w:szCs w:val="32"/>
        </w:rPr>
        <w:t>6.6</w:t>
      </w:r>
      <w:r>
        <w:rPr>
          <w:rFonts w:eastAsia="仿宋_GB2312"/>
          <w:sz w:val="32"/>
          <w:szCs w:val="32"/>
        </w:rPr>
        <w:t>%左右安排。据此，一般公共预算地方收入</w:t>
      </w:r>
      <w:r>
        <w:rPr>
          <w:rFonts w:hint="eastAsia" w:eastAsia="仿宋_GB2312"/>
          <w:sz w:val="32"/>
          <w:szCs w:val="32"/>
        </w:rPr>
        <w:t>35574万元</w:t>
      </w:r>
      <w:r>
        <w:rPr>
          <w:rFonts w:eastAsia="仿宋_GB2312"/>
          <w:sz w:val="32"/>
          <w:szCs w:val="32"/>
        </w:rPr>
        <w:t>，加上</w:t>
      </w:r>
      <w:r>
        <w:rPr>
          <w:rFonts w:hint="eastAsia" w:eastAsia="仿宋_GB2312"/>
          <w:sz w:val="32"/>
          <w:szCs w:val="32"/>
        </w:rPr>
        <w:t>上级补助194390万元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债务转贷收入11682万元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调入资金35739万元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上年结余200万元，</w:t>
      </w:r>
      <w:r>
        <w:rPr>
          <w:rFonts w:eastAsia="仿宋_GB2312"/>
          <w:sz w:val="32"/>
          <w:szCs w:val="32"/>
        </w:rPr>
        <w:t>收入合计</w:t>
      </w:r>
      <w:r>
        <w:rPr>
          <w:rFonts w:hint="eastAsia" w:eastAsia="仿宋_GB2312"/>
          <w:sz w:val="32"/>
          <w:szCs w:val="32"/>
        </w:rPr>
        <w:t>277585万元。相关收入项目情况如下：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1.2021年地方税收收入预计完成25623万元，同比增长6.3%；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2.2021年非税收入完成9951万元，同比增长7.4%。  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二、20</w:t>
      </w:r>
      <w:r>
        <w:rPr>
          <w:rFonts w:hint="eastAsia" w:eastAsia="黑体"/>
          <w:color w:val="000000"/>
          <w:sz w:val="32"/>
          <w:szCs w:val="32"/>
        </w:rPr>
        <w:t>21</w:t>
      </w:r>
      <w:r>
        <w:rPr>
          <w:rFonts w:eastAsia="黑体"/>
          <w:color w:val="000000"/>
          <w:sz w:val="32"/>
          <w:szCs w:val="32"/>
        </w:rPr>
        <w:t>年一般公共预算支出预算说明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2021年一般公共预算支出</w:t>
      </w:r>
      <w:r>
        <w:rPr>
          <w:rFonts w:eastAsia="仿宋_GB2312"/>
          <w:sz w:val="32"/>
          <w:szCs w:val="32"/>
        </w:rPr>
        <w:t>安排</w:t>
      </w:r>
      <w:r>
        <w:rPr>
          <w:rFonts w:hint="eastAsia" w:eastAsia="仿宋_GB2312"/>
          <w:sz w:val="32"/>
          <w:szCs w:val="32"/>
        </w:rPr>
        <w:t>246501万元</w:t>
      </w:r>
      <w:r>
        <w:rPr>
          <w:rFonts w:eastAsia="仿宋_GB2312"/>
          <w:sz w:val="32"/>
          <w:szCs w:val="32"/>
        </w:rPr>
        <w:t>，加上上解</w:t>
      </w:r>
      <w:r>
        <w:rPr>
          <w:rFonts w:hint="eastAsia" w:eastAsia="仿宋_GB2312"/>
          <w:sz w:val="32"/>
          <w:szCs w:val="32"/>
        </w:rPr>
        <w:t>上级3500万元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债务还本27584万元，支出合计277585万元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遵循“以收定支，收支平衡”的原则。预算支出计划严格落实保“三保”、保重大风险防控、保县委、县政府重大决策部署的保障措施，做到量入为出、有保有压。具体项目支出安排如下：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人员工资和津补贴支出安排72218万元，较上年增加4521万元。增加的主要原因是工资正常晋级、公招临聘人员工资及社保缴费，以及做实养老保险缴费配套和机关事业养老保险基金兜底。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2.县直单位运转经费支出安排17957万元，较上年减少1030万元，按政策压减了一般性支出和核减了到期项目。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3.基层机关（组织）运转经费支出安排5350万元，较上年增加219万元。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4.县级民生配套和专项项目支出安排45870万元，较上年增加729万元。主要是安排新增民生政策足额到位和乡村振兴等重点项目支出，同时核减到期项目后净增加出729万元。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5.机动金和预备费支出安排4200万元，与上年持平。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6.上级专项支出安排91159万元，较上年增加8637万元，专项列收列支。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7.偿债准备金支出安排37331万元，较上年减少2384万元。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8.上解支出安排3500万元，较上年增加363万元。主要是怀化市生态环境局靖州分局上划市级管理，新增上划基数支出。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继续将国有资本经营收入作为单位非税收入纳入公共财政预算管理，其收支预算编入公共财政预算收支计划，国有资本经营预算不再单独编制。</w:t>
      </w:r>
    </w:p>
    <w:p>
      <w:pPr>
        <w:spacing w:line="600" w:lineRule="exact"/>
        <w:ind w:firstLine="640" w:firstLineChars="200"/>
        <w:rPr>
          <w:rFonts w:hint="default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z w:val="32"/>
          <w:szCs w:val="32"/>
        </w:rPr>
        <w:t>三、2021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转移支付情况说明</w:t>
      </w:r>
    </w:p>
    <w:p>
      <w:pPr>
        <w:spacing w:line="600" w:lineRule="exact"/>
        <w:ind w:firstLine="64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2021年年初预算上级补助收入为194390万元，其中返还性收入4511万元；一般性转移支付收入160434万元；专项转移支付收入29445万元。</w:t>
      </w:r>
    </w:p>
    <w:p>
      <w:pPr>
        <w:spacing w:line="600" w:lineRule="exact"/>
        <w:ind w:firstLine="640"/>
        <w:rPr>
          <w:rFonts w:hint="eastAsia" w:eastAsia="仿宋_GB2312"/>
          <w:strike w:val="0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strike w:val="0"/>
          <w:dstrike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strike w:val="0"/>
          <w:dstrike w:val="0"/>
          <w:sz w:val="32"/>
          <w:szCs w:val="32"/>
        </w:rPr>
        <w:t>.一般性转移转移支付收入160434万元，占转移支付比重为84.5%。其中，均衡性转移支付36262万元，民族地区转移支付7744万元，调整工资转移支付5789万元，农村税费改革补助2124万元，县级基本财力保障机制奖补资金11812万元，结算补助（含特殊县困难补助）10885万元，含企事业单位划转补助806万元，生态功能区补助6835万元，其他一般性转移性转移支付（专项使用）78177万元。</w:t>
      </w:r>
    </w:p>
    <w:p>
      <w:pPr>
        <w:spacing w:line="600" w:lineRule="exact"/>
        <w:ind w:firstLine="64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2.专项转移支付收入合计为29445万元，其中一般公共</w:t>
      </w:r>
      <w:bookmarkStart w:id="0" w:name="_GoBack"/>
      <w:bookmarkEnd w:id="0"/>
      <w:r>
        <w:rPr>
          <w:rFonts w:hint="eastAsia" w:eastAsia="仿宋_GB2312"/>
          <w:color w:val="auto"/>
          <w:sz w:val="32"/>
          <w:szCs w:val="32"/>
          <w:lang w:val="en-US" w:eastAsia="zh-CN"/>
        </w:rPr>
        <w:t>服务849万元；国防6万元；公共安全54.8万元；教育2498万元；科学技术463.1万元；文化旅游体育与传媒357.9万元；社会保障和就业580.6万元；卫生健康2389.8万元；节能环保4170万元；城乡社区69万元；农林水支出4671万元；交通运输7805.8万元；资源勘探工业信息等1031万元；商业服务业等153万元；金融108万元；自然资源海洋气象等40万元；住房保障支出1606万元；粮油物资储备20万元；灾害防治及应急管理372万元；其他收入2200万元。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四、</w:t>
      </w:r>
      <w:r>
        <w:rPr>
          <w:rFonts w:eastAsia="黑体"/>
          <w:color w:val="000000"/>
          <w:sz w:val="32"/>
          <w:szCs w:val="32"/>
        </w:rPr>
        <w:t>20</w:t>
      </w:r>
      <w:r>
        <w:rPr>
          <w:rFonts w:hint="eastAsia" w:eastAsia="黑体"/>
          <w:color w:val="000000"/>
          <w:sz w:val="32"/>
          <w:szCs w:val="32"/>
        </w:rPr>
        <w:t>21</w:t>
      </w:r>
      <w:r>
        <w:rPr>
          <w:rFonts w:eastAsia="黑体"/>
          <w:color w:val="000000"/>
          <w:sz w:val="32"/>
          <w:szCs w:val="32"/>
        </w:rPr>
        <w:t>年政府性基金预算说明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基金收入和实际支出情况，按基金项目以收定支编制。本级收入84153万元，上级补助收入1830万元，债务转贷收入990万元，上年结余收入200万元，收入合计87173万元。本级支出53334万元，上解支出110万元，地方政府专项债券还本990万元，调出资金32739万元，支出合计87173万元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2020年城镇职工基本医疗保险、城乡居民基本医疗保险和工伤保险上划市级统筹，该三项保险基金预算由市级部门编制。</w:t>
      </w:r>
    </w:p>
    <w:p>
      <w:pPr>
        <w:spacing w:line="600" w:lineRule="exact"/>
        <w:ind w:firstLine="62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五、</w:t>
      </w:r>
      <w:r>
        <w:rPr>
          <w:rFonts w:eastAsia="黑体"/>
          <w:color w:val="000000"/>
          <w:sz w:val="32"/>
          <w:szCs w:val="32"/>
        </w:rPr>
        <w:t>20</w:t>
      </w:r>
      <w:r>
        <w:rPr>
          <w:rFonts w:hint="eastAsia" w:eastAsia="黑体"/>
          <w:color w:val="000000"/>
          <w:sz w:val="32"/>
          <w:szCs w:val="32"/>
        </w:rPr>
        <w:t>21</w:t>
      </w:r>
      <w:r>
        <w:rPr>
          <w:rFonts w:eastAsia="黑体"/>
          <w:color w:val="000000"/>
          <w:sz w:val="32"/>
          <w:szCs w:val="32"/>
        </w:rPr>
        <w:t>年</w:t>
      </w:r>
      <w:r>
        <w:rPr>
          <w:rFonts w:hint="eastAsia" w:eastAsia="黑体"/>
          <w:color w:val="000000"/>
          <w:sz w:val="32"/>
          <w:szCs w:val="32"/>
        </w:rPr>
        <w:t>社会保险基金</w:t>
      </w:r>
      <w:r>
        <w:rPr>
          <w:rFonts w:eastAsia="黑体"/>
          <w:color w:val="000000"/>
          <w:sz w:val="32"/>
          <w:szCs w:val="32"/>
        </w:rPr>
        <w:t>预算的说明</w:t>
      </w:r>
    </w:p>
    <w:p>
      <w:pPr>
        <w:spacing w:line="6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社会保险基金预算收入安排26287万元，其中：城乡居民基本养老保险基金收入6578万元、机关事业基本养老保险基金收入19276万元、失业保险基金收入433万元。支出安排24353万元，其中：城乡居民基本养老保险基金支出5060万元、机关事业基本养老保险基金支出19092万元、失业保险基金支出201万元。年末滚存结余为20297万元。</w:t>
      </w:r>
    </w:p>
    <w:p>
      <w:pPr>
        <w:spacing w:line="600" w:lineRule="exact"/>
        <w:ind w:firstLine="629"/>
        <w:rPr>
          <w:rFonts w:hint="eastAsia"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</w:rPr>
        <w:t>六、2020年财政税收返还和转移支付安排情况</w:t>
      </w:r>
    </w:p>
    <w:p>
      <w:pPr>
        <w:spacing w:line="600" w:lineRule="exact"/>
        <w:ind w:firstLine="629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2020年，上级补助收入201167万元，比上年增加10620万元，增长5.6%。一是返还性收入4511万元，与上年执行数持平。二是一般性转移支付171220万元，比上年增长8.8%。三是专项转移支付25436万元，比上年下降11.2%。</w:t>
      </w:r>
    </w:p>
    <w:p>
      <w:pPr>
        <w:spacing w:line="600" w:lineRule="exact"/>
        <w:ind w:firstLine="629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七、举借政府债务情况</w:t>
      </w:r>
    </w:p>
    <w:p>
      <w:pPr>
        <w:widowControl/>
        <w:shd w:val="clear" w:color="auto" w:fill="FFFFFF"/>
        <w:spacing w:line="620" w:lineRule="exact"/>
        <w:ind w:firstLine="594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2020年度新增地方政府债券4.56亿元，其中一般债券1.5亿元，专项债券3.06亿元。</w:t>
      </w:r>
      <w:r>
        <w:rPr>
          <w:rFonts w:hint="eastAsia" w:eastAsia="仿宋_GB2312"/>
          <w:color w:val="auto"/>
          <w:sz w:val="32"/>
          <w:szCs w:val="32"/>
        </w:rPr>
        <w:t>上级核定我县2020年政府债务总限额17.63亿元，其中一般债务限额10.61亿元，专项债务限额7.02亿元。2020年，我县新增债券3.7亿元，再融资债券0.8亿元。</w:t>
      </w:r>
      <w:r>
        <w:rPr>
          <w:rFonts w:eastAsia="仿宋_GB2312"/>
          <w:color w:val="auto"/>
          <w:sz w:val="32"/>
          <w:szCs w:val="32"/>
        </w:rPr>
        <w:t>截至2020年末，</w:t>
      </w:r>
      <w:r>
        <w:rPr>
          <w:rFonts w:hint="eastAsia" w:eastAsia="仿宋_GB2312"/>
          <w:color w:val="auto"/>
          <w:sz w:val="32"/>
          <w:szCs w:val="32"/>
        </w:rPr>
        <w:t>我县政府债务余额17.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47</w:t>
      </w:r>
      <w:r>
        <w:rPr>
          <w:rFonts w:hint="eastAsia" w:eastAsia="仿宋_GB2312"/>
          <w:color w:val="auto"/>
          <w:sz w:val="32"/>
          <w:szCs w:val="32"/>
        </w:rPr>
        <w:t>亿元，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其中</w:t>
      </w:r>
      <w:r>
        <w:rPr>
          <w:rFonts w:hint="eastAsia" w:eastAsia="仿宋_GB2312"/>
          <w:color w:val="auto"/>
          <w:sz w:val="32"/>
          <w:szCs w:val="32"/>
        </w:rPr>
        <w:t>一般债务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余额10.45</w:t>
      </w:r>
      <w:r>
        <w:rPr>
          <w:rFonts w:hint="eastAsia" w:eastAsia="仿宋_GB2312"/>
          <w:color w:val="auto"/>
          <w:sz w:val="32"/>
          <w:szCs w:val="32"/>
        </w:rPr>
        <w:t>亿元，专项债务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余额7.02</w:t>
      </w:r>
      <w:r>
        <w:rPr>
          <w:rFonts w:hint="eastAsia" w:eastAsia="仿宋_GB2312"/>
          <w:color w:val="auto"/>
          <w:sz w:val="32"/>
          <w:szCs w:val="32"/>
        </w:rPr>
        <w:t>亿元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控制在上级核定的债务限额以内。</w:t>
      </w:r>
    </w:p>
    <w:p>
      <w:pPr>
        <w:widowControl/>
        <w:shd w:val="clear" w:color="auto" w:fill="FFFFFF"/>
        <w:spacing w:line="620" w:lineRule="exact"/>
        <w:ind w:firstLine="594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2020年度共还本付息12796万元，其中还本8197万元，付息4599万元。</w:t>
      </w:r>
    </w:p>
    <w:p>
      <w:pPr>
        <w:spacing w:line="600" w:lineRule="exact"/>
        <w:ind w:firstLine="629"/>
        <w:rPr>
          <w:rFonts w:hint="default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lang w:val="en-US" w:eastAsia="zh-CN"/>
        </w:rPr>
        <w:t>八、“三公”经费预算安排情况说明</w:t>
      </w:r>
    </w:p>
    <w:p>
      <w:pPr>
        <w:spacing w:line="600" w:lineRule="exact"/>
        <w:ind w:firstLine="629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2021年“三公”经费预算为1661.74万元，其中：公务接待费851.63万元、公务用车运行维护费为757.11万元、公务用车购置费为48万元、因公出国5万元。</w:t>
      </w:r>
    </w:p>
    <w:p>
      <w:pPr>
        <w:spacing w:line="600" w:lineRule="exact"/>
        <w:ind w:firstLine="62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体来看，2020年“三公”经费预算总额为1777.49万元，2021年“三公”经费预算总额为1661.74万元。2021年“三公”经费预算总额较2020年“三公”经费预算总额下降6.51%，主要得益于全县上下各部门坚持厉行节约原则，严格“三公”经费使用审批标准及手续，突出制度化建设，从严控制“三公”经费预算支出。</w:t>
      </w:r>
    </w:p>
    <w:p>
      <w:pPr>
        <w:spacing w:line="600" w:lineRule="exact"/>
        <w:ind w:firstLine="629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九</w:t>
      </w:r>
      <w:r>
        <w:rPr>
          <w:rFonts w:hint="eastAsia" w:eastAsia="黑体"/>
          <w:color w:val="000000"/>
          <w:sz w:val="32"/>
          <w:szCs w:val="32"/>
        </w:rPr>
        <w:t>、预算绩效管理工作情况</w:t>
      </w:r>
    </w:p>
    <w:p>
      <w:pPr>
        <w:spacing w:line="600" w:lineRule="exact"/>
        <w:ind w:firstLine="62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，县财政认真贯彻落实党的十九大和十九届二中、三中、四中、五中全会精神，按照中央、财政部和省委省财政关于全面实施预算绩效管理的决策部署，加快建立全方位、全过程、全覆盖的预算绩效管理体系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10" w:lineRule="atLeast"/>
        <w:ind w:left="0" w:right="0" w:firstLine="420"/>
        <w:jc w:val="both"/>
        <w:textAlignment w:val="baseline"/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  <w:t>十、重大政策和重点项目等绩效目标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10" w:lineRule="atLeast"/>
        <w:ind w:left="0" w:right="0" w:firstLine="420"/>
        <w:jc w:val="both"/>
        <w:textAlignment w:val="baseline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年我县财政局成立了绩效评价小组对我县2020年度3个专项进行重点绩效评价；包括“靖州县市场监督管理局2020年年度部门整体支出”，“靖州县林业局2020年森林生态效益林补偿专项资金”，“靖州县人力资源和社会保障局2020年扶持公共就业服务本级配套专项资金”，金额总计2919.15万元。评价小组对这三个项目做出绩效评价报告并督促预算单位整改到位。</w:t>
      </w:r>
    </w:p>
    <w:p>
      <w:pPr>
        <w:spacing w:line="600" w:lineRule="exact"/>
        <w:ind w:firstLine="629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29"/>
        <w:rPr>
          <w:rFonts w:hint="eastAsia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科学设定绩效目标。</w:t>
      </w:r>
      <w:r>
        <w:rPr>
          <w:rFonts w:hint="eastAsia" w:eastAsia="仿宋_GB2312"/>
          <w:sz w:val="32"/>
          <w:szCs w:val="32"/>
        </w:rPr>
        <w:t>对全部县级专项资金2021年绩效目标进行审核，强化资金统筹，优化预算支出结构，科学设定绩效目标，并与预算同步批复下达。</w:t>
      </w:r>
    </w:p>
    <w:p>
      <w:pPr>
        <w:spacing w:line="600" w:lineRule="exact"/>
        <w:ind w:firstLine="629"/>
        <w:rPr>
          <w:rFonts w:hint="eastAsia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强化绩效评价应用。</w:t>
      </w:r>
      <w:r>
        <w:rPr>
          <w:rFonts w:hint="eastAsia" w:eastAsia="仿宋_GB2312"/>
          <w:sz w:val="32"/>
          <w:szCs w:val="32"/>
        </w:rPr>
        <w:t xml:space="preserve"> 抓紧建立健全绩效评价结果与预算安排挂钩机制，对绩效评价发现的问题进行督促整改，提高绩效评价结果的操作性，提升部门加强预算绩效管理的主动性和自觉性。</w:t>
      </w:r>
    </w:p>
    <w:p>
      <w:pPr>
        <w:spacing w:line="600" w:lineRule="exact"/>
        <w:ind w:firstLine="629"/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518F38-9076-4CBD-BA75-1F4087265E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6A985CC-EF03-42C1-9E96-B1883C7A4B0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520199A-98DC-4DB3-BA9E-595255F276E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B0C951E-FB8D-4093-BE33-BB13410E742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828400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YzAxZDhmMWZiMjdlZDAxYWJlMjk1Mjk4ZjlhODEifQ=="/>
  </w:docVars>
  <w:rsids>
    <w:rsidRoot w:val="000B6AE1"/>
    <w:rsid w:val="00015CD9"/>
    <w:rsid w:val="000378F8"/>
    <w:rsid w:val="000557EB"/>
    <w:rsid w:val="00070AE5"/>
    <w:rsid w:val="00093D7A"/>
    <w:rsid w:val="000A1A30"/>
    <w:rsid w:val="000B6AE1"/>
    <w:rsid w:val="000D4BD7"/>
    <w:rsid w:val="000F7E78"/>
    <w:rsid w:val="00100C5C"/>
    <w:rsid w:val="00155121"/>
    <w:rsid w:val="00176204"/>
    <w:rsid w:val="001A0286"/>
    <w:rsid w:val="001A1FD9"/>
    <w:rsid w:val="001A254D"/>
    <w:rsid w:val="001C68F0"/>
    <w:rsid w:val="001D4771"/>
    <w:rsid w:val="001F273F"/>
    <w:rsid w:val="00203D10"/>
    <w:rsid w:val="0021061B"/>
    <w:rsid w:val="00216247"/>
    <w:rsid w:val="0024559B"/>
    <w:rsid w:val="002C6D08"/>
    <w:rsid w:val="002E1DEC"/>
    <w:rsid w:val="002E267D"/>
    <w:rsid w:val="002E50C2"/>
    <w:rsid w:val="002F2CE5"/>
    <w:rsid w:val="00304812"/>
    <w:rsid w:val="003175C7"/>
    <w:rsid w:val="0035079C"/>
    <w:rsid w:val="00351616"/>
    <w:rsid w:val="00355CE0"/>
    <w:rsid w:val="0035791F"/>
    <w:rsid w:val="003659B7"/>
    <w:rsid w:val="00375A09"/>
    <w:rsid w:val="00382858"/>
    <w:rsid w:val="003A3FC8"/>
    <w:rsid w:val="003B5D1D"/>
    <w:rsid w:val="003C4369"/>
    <w:rsid w:val="00443FA5"/>
    <w:rsid w:val="004462AC"/>
    <w:rsid w:val="00446714"/>
    <w:rsid w:val="00447E96"/>
    <w:rsid w:val="00452FBE"/>
    <w:rsid w:val="004A5428"/>
    <w:rsid w:val="004B21D0"/>
    <w:rsid w:val="004B403D"/>
    <w:rsid w:val="004B4C07"/>
    <w:rsid w:val="004B62D2"/>
    <w:rsid w:val="004C4EFA"/>
    <w:rsid w:val="004C619C"/>
    <w:rsid w:val="004F0050"/>
    <w:rsid w:val="0050636A"/>
    <w:rsid w:val="00511BC0"/>
    <w:rsid w:val="005263DE"/>
    <w:rsid w:val="00526CFF"/>
    <w:rsid w:val="00560BE9"/>
    <w:rsid w:val="005926BE"/>
    <w:rsid w:val="005966C5"/>
    <w:rsid w:val="005C1825"/>
    <w:rsid w:val="005F022A"/>
    <w:rsid w:val="00611600"/>
    <w:rsid w:val="00621496"/>
    <w:rsid w:val="00631336"/>
    <w:rsid w:val="00635833"/>
    <w:rsid w:val="006651BB"/>
    <w:rsid w:val="00681BF9"/>
    <w:rsid w:val="006A3D3E"/>
    <w:rsid w:val="007422FC"/>
    <w:rsid w:val="0076337D"/>
    <w:rsid w:val="00787EE1"/>
    <w:rsid w:val="007929C0"/>
    <w:rsid w:val="007C10C5"/>
    <w:rsid w:val="00837699"/>
    <w:rsid w:val="00850492"/>
    <w:rsid w:val="00896E93"/>
    <w:rsid w:val="008A41A6"/>
    <w:rsid w:val="008A5F48"/>
    <w:rsid w:val="008B683D"/>
    <w:rsid w:val="008E16D0"/>
    <w:rsid w:val="008F3686"/>
    <w:rsid w:val="00925293"/>
    <w:rsid w:val="00954F24"/>
    <w:rsid w:val="009553BB"/>
    <w:rsid w:val="00963776"/>
    <w:rsid w:val="009962EF"/>
    <w:rsid w:val="009A6349"/>
    <w:rsid w:val="00A050DE"/>
    <w:rsid w:val="00A14862"/>
    <w:rsid w:val="00A32BC1"/>
    <w:rsid w:val="00A36834"/>
    <w:rsid w:val="00A376A1"/>
    <w:rsid w:val="00A6327A"/>
    <w:rsid w:val="00A958EF"/>
    <w:rsid w:val="00AA012D"/>
    <w:rsid w:val="00AD33DE"/>
    <w:rsid w:val="00AF23FF"/>
    <w:rsid w:val="00B00EC2"/>
    <w:rsid w:val="00B0257E"/>
    <w:rsid w:val="00B507EE"/>
    <w:rsid w:val="00BF0DAF"/>
    <w:rsid w:val="00C012CE"/>
    <w:rsid w:val="00C05C96"/>
    <w:rsid w:val="00C17130"/>
    <w:rsid w:val="00C30CD7"/>
    <w:rsid w:val="00C35D3E"/>
    <w:rsid w:val="00C45E36"/>
    <w:rsid w:val="00C53849"/>
    <w:rsid w:val="00C752D0"/>
    <w:rsid w:val="00C809CB"/>
    <w:rsid w:val="00C9032B"/>
    <w:rsid w:val="00CA324F"/>
    <w:rsid w:val="00D01ACA"/>
    <w:rsid w:val="00D1072F"/>
    <w:rsid w:val="00D46030"/>
    <w:rsid w:val="00D462EF"/>
    <w:rsid w:val="00DB6E6F"/>
    <w:rsid w:val="00DC7C04"/>
    <w:rsid w:val="00E23C25"/>
    <w:rsid w:val="00E26879"/>
    <w:rsid w:val="00E36C70"/>
    <w:rsid w:val="00E460F8"/>
    <w:rsid w:val="00E543E2"/>
    <w:rsid w:val="00EA0CD7"/>
    <w:rsid w:val="00EE1954"/>
    <w:rsid w:val="00EE2F2B"/>
    <w:rsid w:val="00EE3BB0"/>
    <w:rsid w:val="00EE7B7E"/>
    <w:rsid w:val="00F20035"/>
    <w:rsid w:val="00F2588F"/>
    <w:rsid w:val="00F4417A"/>
    <w:rsid w:val="00F501D7"/>
    <w:rsid w:val="00F85B3E"/>
    <w:rsid w:val="00F86DC9"/>
    <w:rsid w:val="00F958DD"/>
    <w:rsid w:val="06130945"/>
    <w:rsid w:val="0B552798"/>
    <w:rsid w:val="0D110F05"/>
    <w:rsid w:val="0F7204B6"/>
    <w:rsid w:val="0FB82F4C"/>
    <w:rsid w:val="13721FBF"/>
    <w:rsid w:val="15C62EF8"/>
    <w:rsid w:val="18CF572F"/>
    <w:rsid w:val="19E14226"/>
    <w:rsid w:val="200C293E"/>
    <w:rsid w:val="253C332E"/>
    <w:rsid w:val="2D73726F"/>
    <w:rsid w:val="2FD8540F"/>
    <w:rsid w:val="34F37DAB"/>
    <w:rsid w:val="47334CA8"/>
    <w:rsid w:val="53FC12DE"/>
    <w:rsid w:val="56CE1260"/>
    <w:rsid w:val="59653E8A"/>
    <w:rsid w:val="5C0C1E7B"/>
    <w:rsid w:val="69004F74"/>
    <w:rsid w:val="7F424E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92E7-EC31-48EA-A162-E5C8DDE5C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2246</Words>
  <Characters>2707</Characters>
  <Lines>15</Lines>
  <Paragraphs>4</Paragraphs>
  <TotalTime>0</TotalTime>
  <ScaleCrop>false</ScaleCrop>
  <LinksUpToDate>false</LinksUpToDate>
  <CharactersWithSpaces>2710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2020-02-03T07:22:00Z</dcterms:created>
  <dc:creator>陈杰 null</dc:creator>
  <cp:lastModifiedBy>Tangyp</cp:lastModifiedBy>
  <cp:lastPrinted>2022-06-25T04:16:00Z</cp:lastPrinted>
  <dcterms:modified xsi:type="dcterms:W3CDTF">2022-09-09T09:43:42Z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BB6B1D194148436298086308B1A85EF3</vt:lpwstr>
  </property>
</Properties>
</file>