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</w:rPr>
        <w:t>21</w:t>
      </w:r>
      <w:r>
        <w:rPr>
          <w:rFonts w:eastAsia="方正小标宋_GBK"/>
          <w:sz w:val="44"/>
          <w:szCs w:val="44"/>
        </w:rPr>
        <w:t>年预算重要事项解释说明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一、20</w:t>
      </w:r>
      <w:r>
        <w:rPr>
          <w:rFonts w:hint="eastAsia" w:eastAsia="黑体"/>
          <w:sz w:val="32"/>
          <w:szCs w:val="32"/>
        </w:rPr>
        <w:t>21</w:t>
      </w:r>
      <w:r>
        <w:rPr>
          <w:rFonts w:eastAsia="黑体"/>
          <w:sz w:val="32"/>
          <w:szCs w:val="32"/>
        </w:rPr>
        <w:t>年一般公共预算收入预算说明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年一般公共预算地方收入按增长</w:t>
      </w:r>
      <w:r>
        <w:rPr>
          <w:rFonts w:hint="eastAsia" w:eastAsia="仿宋_GB2312"/>
          <w:sz w:val="32"/>
          <w:szCs w:val="32"/>
        </w:rPr>
        <w:t>6.6</w:t>
      </w:r>
      <w:r>
        <w:rPr>
          <w:rFonts w:eastAsia="仿宋_GB2312"/>
          <w:sz w:val="32"/>
          <w:szCs w:val="32"/>
        </w:rPr>
        <w:t>%左右安排。据此，一般公共预算地方收入</w:t>
      </w:r>
      <w:r>
        <w:rPr>
          <w:rFonts w:hint="eastAsia" w:eastAsia="仿宋_GB2312"/>
          <w:sz w:val="32"/>
          <w:szCs w:val="32"/>
        </w:rPr>
        <w:t>35574万元</w:t>
      </w:r>
      <w:r>
        <w:rPr>
          <w:rFonts w:eastAsia="仿宋_GB2312"/>
          <w:sz w:val="32"/>
          <w:szCs w:val="32"/>
        </w:rPr>
        <w:t>，加上</w:t>
      </w:r>
      <w:r>
        <w:rPr>
          <w:rFonts w:hint="eastAsia" w:eastAsia="仿宋_GB2312"/>
          <w:sz w:val="32"/>
          <w:szCs w:val="32"/>
        </w:rPr>
        <w:t>上级补助194390万元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债务转贷收入11682万元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调入资金35739万元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上年结余200万元，</w:t>
      </w:r>
      <w:r>
        <w:rPr>
          <w:rFonts w:eastAsia="仿宋_GB2312"/>
          <w:sz w:val="32"/>
          <w:szCs w:val="32"/>
        </w:rPr>
        <w:t>收入合计</w:t>
      </w:r>
      <w:r>
        <w:rPr>
          <w:rFonts w:hint="eastAsia" w:eastAsia="仿宋_GB2312"/>
          <w:sz w:val="32"/>
          <w:szCs w:val="32"/>
        </w:rPr>
        <w:t>277585万元。相关收入项目情况如下：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1.2021年地方税收收入预计完成25623万元，同比增长6.3%；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2.2021年非税收入完成9951万元，同比增长7.4%。  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二、20</w:t>
      </w:r>
      <w:r>
        <w:rPr>
          <w:rFonts w:hint="eastAsia" w:eastAsia="黑体"/>
          <w:color w:val="000000"/>
          <w:sz w:val="32"/>
          <w:szCs w:val="32"/>
        </w:rPr>
        <w:t>21</w:t>
      </w:r>
      <w:r>
        <w:rPr>
          <w:rFonts w:eastAsia="黑体"/>
          <w:color w:val="000000"/>
          <w:sz w:val="32"/>
          <w:szCs w:val="32"/>
        </w:rPr>
        <w:t>年一般公共预算支出预算说明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2021年一般公共预算支出</w:t>
      </w:r>
      <w:r>
        <w:rPr>
          <w:rFonts w:eastAsia="仿宋_GB2312"/>
          <w:sz w:val="32"/>
          <w:szCs w:val="32"/>
        </w:rPr>
        <w:t>安排</w:t>
      </w:r>
      <w:r>
        <w:rPr>
          <w:rFonts w:hint="eastAsia" w:eastAsia="仿宋_GB2312"/>
          <w:sz w:val="32"/>
          <w:szCs w:val="32"/>
        </w:rPr>
        <w:t>246501万元</w:t>
      </w:r>
      <w:r>
        <w:rPr>
          <w:rFonts w:eastAsia="仿宋_GB2312"/>
          <w:sz w:val="32"/>
          <w:szCs w:val="32"/>
        </w:rPr>
        <w:t>，加上上解</w:t>
      </w:r>
      <w:r>
        <w:rPr>
          <w:rFonts w:hint="eastAsia" w:eastAsia="仿宋_GB2312"/>
          <w:sz w:val="32"/>
          <w:szCs w:val="32"/>
        </w:rPr>
        <w:t>上级3500万元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债务还本27584万元，支出合计277585万元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遵循“以收定支，收支平衡”的原则。预算支出计划严格落实保“三保”、保重大风险防控、保县委、县政府重大决策部署的保障措施，做到量入为出、有保有压。具体项目支出安排如下：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人员工资和津补贴支出安排72218万元，较上年增加4521万元。增加的主要原因是工资正常晋级、公招临聘人员工资及社保缴费，以及做实养老保险缴费配套和机关事业养老保险基金兜底。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2.县直单位运转经费支出安排17957万元，较上年减少1030万元，按政策压减了一般性支出和核减了到期项目。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3.基层机关（组织）运转经费支出安排5350万元，较上年增加219万元。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4.县级民生配套和专项项目支出安排45870万元，较上年增加729万元。主要是安排新增民生政策足额到位和乡村振兴等重点项目支出，同时核减到期项目后净增加出729万元。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5.机动金和预备费支出安排4200万元，与上年持平。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6.上级专项支出安排91159万元，较上年增加8637万元，专项列收列支。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7.偿债准备金支出安排37331万元，较上年减少2384万元。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8.上解支出安排3500万元，较上年增加363万元。主要是怀化市生态环境局靖州分局上划市级管理，新增上划基数支出。</w:t>
      </w:r>
    </w:p>
    <w:p>
      <w:pPr>
        <w:spacing w:line="60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继续将国有资本经营收入作为单位非税收入纳入公共财政预算管理，其收支预算编入公共财政预算收支计划，国有资本经营预算不再单独编制。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三、2021年省对市县税收返还和转移支付预算说明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2021年，省进一步加大对市县的转移支付力度，全力支持市县“保工资、保运转、保民生”，并安排税收返还和转移支出预算194390万元。具体情况如下、：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返还性收入4511万元，与2020年执行数持平。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一般性转移转移支付收入160434万元，占转移支付比重为84.5%。其中，均衡性转移支付36262万元，民族地区转移支付7744万元，调整工资转移支付5789万元，农村税费改革补助2124万元，县级基本财力保障机制奖补资金11812万元，结算补助（含特殊县困难补助）10885万元，含企事业单位划转补助806万元，生态功能区补助6835万元，其他一般性转移性转移支付（专项使用）78177万元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3.专项转移支付29445万元。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</w:t>
      </w:r>
      <w:r>
        <w:rPr>
          <w:rFonts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</w:rPr>
        <w:t>21</w:t>
      </w:r>
      <w:r>
        <w:rPr>
          <w:rFonts w:eastAsia="黑体"/>
          <w:color w:val="000000"/>
          <w:sz w:val="32"/>
          <w:szCs w:val="32"/>
        </w:rPr>
        <w:t>年政府性基金预算说明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基金收入和实际支出情况，按基金项目以收定支编制。本级收入84153万元，上级补助收入1830万元，债务转贷收入990万元，上年结余收入200万元，收入合计87173万元。本级支出53334万元，上解支出110万元，地方政府专项债券还本990万元，调出资金32739万元，支出合计87173万元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2020年城镇职工基本医疗保险、城乡居民基本医疗保险和工伤保险上划市级统筹，该三项保险基金预算由市级部门编制。</w:t>
      </w:r>
    </w:p>
    <w:p>
      <w:pPr>
        <w:spacing w:line="600" w:lineRule="exact"/>
        <w:ind w:firstLine="62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</w:t>
      </w:r>
      <w:r>
        <w:rPr>
          <w:rFonts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</w:rPr>
        <w:t>21</w:t>
      </w:r>
      <w:r>
        <w:rPr>
          <w:rFonts w:eastAsia="黑体"/>
          <w:color w:val="000000"/>
          <w:sz w:val="32"/>
          <w:szCs w:val="32"/>
        </w:rPr>
        <w:t>年</w:t>
      </w:r>
      <w:r>
        <w:rPr>
          <w:rFonts w:hint="eastAsia" w:eastAsia="黑体"/>
          <w:color w:val="000000"/>
          <w:sz w:val="32"/>
          <w:szCs w:val="32"/>
        </w:rPr>
        <w:t>社会保险基金</w:t>
      </w:r>
      <w:r>
        <w:rPr>
          <w:rFonts w:eastAsia="黑体"/>
          <w:color w:val="000000"/>
          <w:sz w:val="32"/>
          <w:szCs w:val="32"/>
        </w:rPr>
        <w:t>预算的说明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社会保险基金预算收入安排26287万元，其中：城乡居民基本养老保险基金收入6578万元、机关事业基本养老保险基金收入19276万元、失业保险基金收入433万元。支出安排24353万元，其中：城乡居民基本养老保险基金支出5060万元、机关事业基本养老保险基金支出19092万元、失业保险基金支出201万元。年末滚存结余为20297万元。</w:t>
      </w:r>
    </w:p>
    <w:p>
      <w:pPr>
        <w:spacing w:line="600" w:lineRule="exact"/>
        <w:ind w:firstLine="629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六、2020年财政税收返还和转移支付安排情况</w:t>
      </w:r>
    </w:p>
    <w:p>
      <w:pPr>
        <w:spacing w:line="600" w:lineRule="exact"/>
        <w:ind w:firstLine="62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2020年，上级补助收入201167万元，比上年增加10620万元，增长5.6%。一是返还性收入4511万元，与上年执行数持平。二是一般性转移支付171220万元，比上年增长8.8%。三是专项转移支付25436万元，比上年下降11.2%。</w:t>
      </w:r>
    </w:p>
    <w:p>
      <w:pPr>
        <w:spacing w:line="600" w:lineRule="exact"/>
        <w:ind w:firstLine="629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七、举借政府债务情况</w:t>
      </w:r>
    </w:p>
    <w:p>
      <w:pPr>
        <w:widowControl/>
        <w:shd w:val="clear" w:color="auto" w:fill="FFFFFF"/>
        <w:spacing w:line="620" w:lineRule="exact"/>
        <w:ind w:firstLine="59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上级核定我县2020年政府债务总限额17.63亿元，其中一般债务限额10.61亿元，专项债务限额7.02亿元。2020年，我县新增债券3.7亿元，再融资债券0.8亿元。</w:t>
      </w:r>
      <w:r>
        <w:rPr>
          <w:rFonts w:eastAsia="仿宋_GB2312"/>
          <w:sz w:val="32"/>
          <w:szCs w:val="32"/>
        </w:rPr>
        <w:t>截至2020年末，</w:t>
      </w:r>
      <w:r>
        <w:rPr>
          <w:rFonts w:hint="eastAsia" w:eastAsia="仿宋_GB2312"/>
          <w:sz w:val="32"/>
          <w:szCs w:val="32"/>
        </w:rPr>
        <w:t>我县政府债务余额17.6亿元，控制在上级核定的债务限额以内。</w:t>
      </w:r>
    </w:p>
    <w:p>
      <w:pPr>
        <w:spacing w:line="600" w:lineRule="exact"/>
        <w:ind w:firstLine="629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八、预算绩效管理工作情况</w:t>
      </w:r>
    </w:p>
    <w:p>
      <w:pPr>
        <w:spacing w:line="600" w:lineRule="exact"/>
        <w:ind w:firstLine="62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2020年，县财政认真贯彻落实党的十九大和十九届二中、三中、四中、五中全会精神，按照中央、财政部和省委省财政关于全面实施预算绩效管理的决策部署，加快建立全方位、全过程、全覆盖的预算绩效管理体系。</w:t>
      </w:r>
    </w:p>
    <w:p>
      <w:pPr>
        <w:spacing w:line="600" w:lineRule="exact"/>
        <w:ind w:firstLine="629"/>
        <w:rPr>
          <w:rFonts w:hint="eastAsia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科学设定绩效目标。</w:t>
      </w:r>
      <w:r>
        <w:rPr>
          <w:rFonts w:hint="eastAsia" w:eastAsia="仿宋_GB2312"/>
          <w:sz w:val="32"/>
          <w:szCs w:val="32"/>
        </w:rPr>
        <w:t>对全部县级专项资金2021年绩效目标进行审核，强化资金统筹，优化预算支出结构，科学设定绩效目标，并与预算同步批复下达。</w:t>
      </w:r>
    </w:p>
    <w:p>
      <w:pPr>
        <w:spacing w:line="600" w:lineRule="exact"/>
        <w:ind w:firstLine="629"/>
        <w:rPr>
          <w:rFonts w:hint="eastAsia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强化绩效评价应用。</w:t>
      </w:r>
      <w:r>
        <w:rPr>
          <w:rFonts w:hint="eastAsia" w:eastAsia="仿宋_GB2312"/>
          <w:sz w:val="32"/>
          <w:szCs w:val="32"/>
        </w:rPr>
        <w:t xml:space="preserve"> 抓紧建立健全绩效评价结果与预算安排挂钩机制，对绩效评价发现的问题进行督促整改，提高绩效评价结果的操作性，提升部门加强预算绩效管理的主动性和自觉性。</w:t>
      </w:r>
    </w:p>
    <w:p>
      <w:pPr>
        <w:spacing w:line="600" w:lineRule="exact"/>
        <w:ind w:firstLine="629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629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828400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06172"/>
    <w:multiLevelType w:val="multilevel"/>
    <w:tmpl w:val="4F606172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E1"/>
    <w:rsid w:val="00015CD9"/>
    <w:rsid w:val="000378F8"/>
    <w:rsid w:val="000557EB"/>
    <w:rsid w:val="00070AE5"/>
    <w:rsid w:val="00093D7A"/>
    <w:rsid w:val="000A1A30"/>
    <w:rsid w:val="000B6AE1"/>
    <w:rsid w:val="000D4BD7"/>
    <w:rsid w:val="000F7E78"/>
    <w:rsid w:val="00100C5C"/>
    <w:rsid w:val="00155121"/>
    <w:rsid w:val="00176204"/>
    <w:rsid w:val="001A0286"/>
    <w:rsid w:val="001A1FD9"/>
    <w:rsid w:val="001A254D"/>
    <w:rsid w:val="001C68F0"/>
    <w:rsid w:val="001D4771"/>
    <w:rsid w:val="001F273F"/>
    <w:rsid w:val="00203D10"/>
    <w:rsid w:val="0021061B"/>
    <w:rsid w:val="00216247"/>
    <w:rsid w:val="0024559B"/>
    <w:rsid w:val="002C6D08"/>
    <w:rsid w:val="002E1DEC"/>
    <w:rsid w:val="002E267D"/>
    <w:rsid w:val="002E50C2"/>
    <w:rsid w:val="002F2CE5"/>
    <w:rsid w:val="00304812"/>
    <w:rsid w:val="003175C7"/>
    <w:rsid w:val="0035079C"/>
    <w:rsid w:val="00351616"/>
    <w:rsid w:val="00355CE0"/>
    <w:rsid w:val="0035791F"/>
    <w:rsid w:val="003659B7"/>
    <w:rsid w:val="00375A09"/>
    <w:rsid w:val="00382858"/>
    <w:rsid w:val="003A3FC8"/>
    <w:rsid w:val="003B5D1D"/>
    <w:rsid w:val="003C4369"/>
    <w:rsid w:val="00443FA5"/>
    <w:rsid w:val="004462AC"/>
    <w:rsid w:val="00446714"/>
    <w:rsid w:val="00447E96"/>
    <w:rsid w:val="00452FBE"/>
    <w:rsid w:val="004A5428"/>
    <w:rsid w:val="004B21D0"/>
    <w:rsid w:val="004B403D"/>
    <w:rsid w:val="004B4C07"/>
    <w:rsid w:val="004B62D2"/>
    <w:rsid w:val="004C4EFA"/>
    <w:rsid w:val="004C619C"/>
    <w:rsid w:val="004F0050"/>
    <w:rsid w:val="0050636A"/>
    <w:rsid w:val="00511BC0"/>
    <w:rsid w:val="005263DE"/>
    <w:rsid w:val="00526CFF"/>
    <w:rsid w:val="00560BE9"/>
    <w:rsid w:val="005926BE"/>
    <w:rsid w:val="005966C5"/>
    <w:rsid w:val="005C1825"/>
    <w:rsid w:val="005F022A"/>
    <w:rsid w:val="00611600"/>
    <w:rsid w:val="00621496"/>
    <w:rsid w:val="00631336"/>
    <w:rsid w:val="00635833"/>
    <w:rsid w:val="006651BB"/>
    <w:rsid w:val="00681BF9"/>
    <w:rsid w:val="006A3D3E"/>
    <w:rsid w:val="007422FC"/>
    <w:rsid w:val="0076337D"/>
    <w:rsid w:val="00787EE1"/>
    <w:rsid w:val="007929C0"/>
    <w:rsid w:val="007C10C5"/>
    <w:rsid w:val="00837699"/>
    <w:rsid w:val="00850492"/>
    <w:rsid w:val="00896E93"/>
    <w:rsid w:val="008A41A6"/>
    <w:rsid w:val="008A5F48"/>
    <w:rsid w:val="008B683D"/>
    <w:rsid w:val="008E16D0"/>
    <w:rsid w:val="008F3686"/>
    <w:rsid w:val="00925293"/>
    <w:rsid w:val="00954F24"/>
    <w:rsid w:val="009553BB"/>
    <w:rsid w:val="00963776"/>
    <w:rsid w:val="009962EF"/>
    <w:rsid w:val="009A6349"/>
    <w:rsid w:val="00A050DE"/>
    <w:rsid w:val="00A14862"/>
    <w:rsid w:val="00A32BC1"/>
    <w:rsid w:val="00A36834"/>
    <w:rsid w:val="00A376A1"/>
    <w:rsid w:val="00A6327A"/>
    <w:rsid w:val="00A958EF"/>
    <w:rsid w:val="00AA012D"/>
    <w:rsid w:val="00AD33DE"/>
    <w:rsid w:val="00AF23FF"/>
    <w:rsid w:val="00B00EC2"/>
    <w:rsid w:val="00B0257E"/>
    <w:rsid w:val="00B507EE"/>
    <w:rsid w:val="00BF0DAF"/>
    <w:rsid w:val="00C012CE"/>
    <w:rsid w:val="00C05C96"/>
    <w:rsid w:val="00C17130"/>
    <w:rsid w:val="00C30CD7"/>
    <w:rsid w:val="00C35D3E"/>
    <w:rsid w:val="00C45E36"/>
    <w:rsid w:val="00C53849"/>
    <w:rsid w:val="00C752D0"/>
    <w:rsid w:val="00C809CB"/>
    <w:rsid w:val="00C9032B"/>
    <w:rsid w:val="00CA324F"/>
    <w:rsid w:val="00D01ACA"/>
    <w:rsid w:val="00D1072F"/>
    <w:rsid w:val="00D46030"/>
    <w:rsid w:val="00D462EF"/>
    <w:rsid w:val="00DB6E6F"/>
    <w:rsid w:val="00DC7C04"/>
    <w:rsid w:val="00E23C25"/>
    <w:rsid w:val="00E26879"/>
    <w:rsid w:val="00E36C70"/>
    <w:rsid w:val="00E460F8"/>
    <w:rsid w:val="00E543E2"/>
    <w:rsid w:val="00EA0CD7"/>
    <w:rsid w:val="00EE1954"/>
    <w:rsid w:val="00EE2F2B"/>
    <w:rsid w:val="00EE3BB0"/>
    <w:rsid w:val="00EE7B7E"/>
    <w:rsid w:val="00F20035"/>
    <w:rsid w:val="00F2588F"/>
    <w:rsid w:val="00F4417A"/>
    <w:rsid w:val="00F501D7"/>
    <w:rsid w:val="00F85B3E"/>
    <w:rsid w:val="00F86DC9"/>
    <w:rsid w:val="00F958DD"/>
    <w:rsid w:val="0B552798"/>
    <w:rsid w:val="0D110F05"/>
    <w:rsid w:val="0FB82F4C"/>
    <w:rsid w:val="18CF572F"/>
    <w:rsid w:val="200C293E"/>
    <w:rsid w:val="2D73726F"/>
    <w:rsid w:val="2FD8540F"/>
    <w:rsid w:val="47334CA8"/>
    <w:rsid w:val="56CE1260"/>
    <w:rsid w:val="59653E8A"/>
    <w:rsid w:val="5C0C1E7B"/>
    <w:rsid w:val="7F424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8392E7-EC31-48EA-A162-E5C8DDE5CD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325</Words>
  <Characters>1857</Characters>
  <Lines>15</Lines>
  <Paragraphs>4</Paragraphs>
  <TotalTime>260</TotalTime>
  <ScaleCrop>false</ScaleCrop>
  <LinksUpToDate>false</LinksUpToDate>
  <CharactersWithSpaces>2178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2020-02-03T07:22:00Z</dcterms:created>
  <dc:creator>陈杰 null</dc:creator>
  <cp:lastModifiedBy>鸿</cp:lastModifiedBy>
  <cp:lastPrinted>2021-02-08T01:57:00Z</cp:lastPrinted>
  <dcterms:modified xsi:type="dcterms:W3CDTF">2021-04-19T03:33:44Z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BB6B1D194148436298086308B1A85EF3</vt:lpwstr>
  </property>
</Properties>
</file>